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904" w:rsidRDefault="00000000">
      <w:pPr>
        <w:pStyle w:val="Title"/>
        <w:tabs>
          <w:tab w:val="left" w:pos="-5400"/>
          <w:tab w:val="left" w:pos="-3330"/>
        </w:tabs>
        <w:rPr>
          <w:sz w:val="24"/>
          <w:szCs w:val="24"/>
        </w:rPr>
      </w:pPr>
      <w:r>
        <w:rPr>
          <w:sz w:val="24"/>
          <w:szCs w:val="24"/>
        </w:rPr>
        <w:t xml:space="preserve">KARAKTERISTIK PENDERITA ANEMIA DALAM KEHAMILAN </w:t>
      </w:r>
    </w:p>
    <w:p w:rsidR="00F57904" w:rsidRDefault="00000000">
      <w:pPr>
        <w:pStyle w:val="Title"/>
        <w:tabs>
          <w:tab w:val="left" w:pos="-5400"/>
          <w:tab w:val="left" w:pos="-3330"/>
        </w:tabs>
        <w:rPr>
          <w:sz w:val="24"/>
          <w:szCs w:val="24"/>
        </w:rPr>
      </w:pPr>
      <w:r>
        <w:rPr>
          <w:sz w:val="24"/>
          <w:szCs w:val="24"/>
        </w:rPr>
        <w:t>DI PUSKESMAS SOMBA OPU</w:t>
      </w:r>
    </w:p>
    <w:p w:rsidR="009F578E" w:rsidRPr="009F578E" w:rsidRDefault="009F578E" w:rsidP="009F578E"/>
    <w:p w:rsidR="00F57904" w:rsidRDefault="00000000">
      <w:pPr>
        <w:jc w:val="center"/>
        <w:rPr>
          <w:b/>
          <w:sz w:val="22"/>
          <w:szCs w:val="22"/>
          <w:vertAlign w:val="superscript"/>
        </w:rPr>
      </w:pPr>
      <w:r>
        <w:rPr>
          <w:b/>
          <w:sz w:val="22"/>
          <w:szCs w:val="22"/>
        </w:rPr>
        <w:t>Muh. Nurfadli Sahar</w:t>
      </w:r>
      <w:r>
        <w:rPr>
          <w:b/>
          <w:sz w:val="22"/>
          <w:szCs w:val="22"/>
          <w:vertAlign w:val="superscript"/>
        </w:rPr>
        <w:t>1</w:t>
      </w:r>
      <w:r>
        <w:rPr>
          <w:b/>
          <w:sz w:val="22"/>
          <w:szCs w:val="22"/>
        </w:rPr>
        <w:t>, Mona Nulanda</w:t>
      </w:r>
      <w:r>
        <w:rPr>
          <w:b/>
          <w:sz w:val="22"/>
          <w:szCs w:val="22"/>
          <w:vertAlign w:val="superscript"/>
        </w:rPr>
        <w:t>2</w:t>
      </w:r>
      <w:r>
        <w:rPr>
          <w:b/>
          <w:sz w:val="22"/>
          <w:szCs w:val="22"/>
        </w:rPr>
        <w:t>, Windy Nurul Aisyah</w:t>
      </w:r>
      <w:r>
        <w:rPr>
          <w:b/>
          <w:sz w:val="22"/>
          <w:szCs w:val="22"/>
          <w:vertAlign w:val="superscript"/>
        </w:rPr>
        <w:t>3</w:t>
      </w:r>
      <w:r>
        <w:rPr>
          <w:b/>
          <w:sz w:val="22"/>
          <w:szCs w:val="22"/>
        </w:rPr>
        <w:t>, M. Hamsah</w:t>
      </w:r>
      <w:r>
        <w:rPr>
          <w:b/>
          <w:sz w:val="22"/>
          <w:szCs w:val="22"/>
          <w:vertAlign w:val="superscript"/>
        </w:rPr>
        <w:t>4</w:t>
      </w:r>
      <w:r>
        <w:rPr>
          <w:b/>
          <w:sz w:val="22"/>
          <w:szCs w:val="22"/>
        </w:rPr>
        <w:t>, Hermiaty Nasruddin</w:t>
      </w:r>
      <w:r>
        <w:rPr>
          <w:b/>
          <w:sz w:val="22"/>
          <w:szCs w:val="22"/>
          <w:vertAlign w:val="superscript"/>
        </w:rPr>
        <w:t>5</w:t>
      </w:r>
    </w:p>
    <w:p w:rsidR="009F578E" w:rsidRDefault="009F578E">
      <w:pPr>
        <w:jc w:val="center"/>
        <w:rPr>
          <w:sz w:val="22"/>
          <w:szCs w:val="22"/>
        </w:rPr>
      </w:pPr>
    </w:p>
    <w:p w:rsidR="00F57904" w:rsidRDefault="00000000">
      <w:pPr>
        <w:jc w:val="center"/>
        <w:rPr>
          <w:sz w:val="22"/>
          <w:szCs w:val="22"/>
        </w:rPr>
      </w:pPr>
      <w:r>
        <w:rPr>
          <w:sz w:val="22"/>
          <w:szCs w:val="22"/>
          <w:vertAlign w:val="superscript"/>
        </w:rPr>
        <w:t>1</w:t>
      </w:r>
      <w:r>
        <w:rPr>
          <w:sz w:val="22"/>
          <w:szCs w:val="22"/>
        </w:rPr>
        <w:t xml:space="preserve">Fakultas Kedokteran, Universitas Muslim Indonesia, Makassar. </w:t>
      </w:r>
    </w:p>
    <w:p w:rsidR="00F57904" w:rsidRDefault="00000000">
      <w:pPr>
        <w:jc w:val="center"/>
        <w:rPr>
          <w:sz w:val="22"/>
          <w:szCs w:val="22"/>
        </w:rPr>
      </w:pPr>
      <w:r>
        <w:rPr>
          <w:sz w:val="22"/>
          <w:szCs w:val="22"/>
          <w:vertAlign w:val="superscript"/>
        </w:rPr>
        <w:t>2</w:t>
      </w:r>
      <w:r>
        <w:rPr>
          <w:sz w:val="22"/>
          <w:szCs w:val="22"/>
        </w:rPr>
        <w:t>Departemen Obstetri Ginekologi,Fakultas Kedokteran, Universitas Muslim Indonesia, Makassar.</w:t>
      </w:r>
    </w:p>
    <w:p w:rsidR="00F57904" w:rsidRDefault="00000000">
      <w:pPr>
        <w:jc w:val="center"/>
        <w:rPr>
          <w:sz w:val="22"/>
          <w:szCs w:val="22"/>
        </w:rPr>
      </w:pPr>
      <w:r>
        <w:rPr>
          <w:sz w:val="22"/>
          <w:szCs w:val="22"/>
          <w:vertAlign w:val="superscript"/>
        </w:rPr>
        <w:t>3</w:t>
      </w:r>
      <w:r>
        <w:rPr>
          <w:sz w:val="22"/>
          <w:szCs w:val="22"/>
        </w:rPr>
        <w:t xml:space="preserve">Fakultas Kedokteran, Universitas Muslim Indonesia, Makassar.  </w:t>
      </w:r>
    </w:p>
    <w:p w:rsidR="00F57904" w:rsidRDefault="00000000">
      <w:pPr>
        <w:jc w:val="center"/>
        <w:rPr>
          <w:sz w:val="22"/>
          <w:szCs w:val="22"/>
        </w:rPr>
      </w:pPr>
      <w:r>
        <w:rPr>
          <w:sz w:val="22"/>
          <w:szCs w:val="22"/>
          <w:vertAlign w:val="superscript"/>
        </w:rPr>
        <w:t>4</w:t>
      </w:r>
      <w:r>
        <w:rPr>
          <w:sz w:val="22"/>
          <w:szCs w:val="22"/>
        </w:rPr>
        <w:t>Departemen Obstetri Ginekologi,Fakultas Kedokteran, Universitas Muslim Indonesia, Makassar.</w:t>
      </w:r>
    </w:p>
    <w:p w:rsidR="00F57904" w:rsidRDefault="00000000">
      <w:pPr>
        <w:jc w:val="center"/>
        <w:rPr>
          <w:sz w:val="22"/>
          <w:szCs w:val="22"/>
        </w:rPr>
      </w:pPr>
      <w:r>
        <w:rPr>
          <w:sz w:val="22"/>
          <w:szCs w:val="22"/>
          <w:vertAlign w:val="superscript"/>
        </w:rPr>
        <w:t>5</w:t>
      </w:r>
      <w:r>
        <w:rPr>
          <w:sz w:val="22"/>
          <w:szCs w:val="22"/>
        </w:rPr>
        <w:t>Departemen Ilmu Kesehatan Masyarakat,Fakultas Kedokteran, Universitas Muslim Indonesia, Makassar.</w:t>
      </w:r>
    </w:p>
    <w:p w:rsidR="00F57904" w:rsidRDefault="00F57904">
      <w:pPr>
        <w:jc w:val="center"/>
        <w:rPr>
          <w:sz w:val="22"/>
          <w:szCs w:val="22"/>
        </w:rPr>
      </w:pPr>
    </w:p>
    <w:p w:rsidR="00F57904" w:rsidRDefault="00000000">
      <w:pPr>
        <w:jc w:val="center"/>
        <w:rPr>
          <w:sz w:val="22"/>
          <w:szCs w:val="22"/>
        </w:rPr>
      </w:pPr>
      <w:r>
        <w:rPr>
          <w:sz w:val="22"/>
          <w:szCs w:val="22"/>
          <w:vertAlign w:val="superscript"/>
        </w:rPr>
        <w:t>*</w:t>
      </w:r>
      <w:r>
        <w:rPr>
          <w:sz w:val="22"/>
          <w:szCs w:val="22"/>
        </w:rPr>
        <w:t>Corresponding author: Telp: +628</w:t>
      </w:r>
      <w:r>
        <w:t xml:space="preserve"> </w:t>
      </w:r>
      <w:r>
        <w:rPr>
          <w:sz w:val="22"/>
          <w:szCs w:val="22"/>
        </w:rPr>
        <w:t>22-9248-6154, email:</w:t>
      </w:r>
      <w:r>
        <w:rPr>
          <w:color w:val="000000"/>
          <w:sz w:val="22"/>
          <w:szCs w:val="22"/>
        </w:rPr>
        <w:t xml:space="preserve"> mona.nulanda_fk@umi.ac.id</w:t>
      </w:r>
    </w:p>
    <w:p w:rsidR="00F57904" w:rsidRDefault="00F57904">
      <w:pPr>
        <w:rPr>
          <w:sz w:val="22"/>
          <w:szCs w:val="22"/>
        </w:rPr>
      </w:pPr>
    </w:p>
    <w:p w:rsidR="00F57904" w:rsidRDefault="00000000">
      <w:pPr>
        <w:spacing w:after="120"/>
      </w:pPr>
      <w:r>
        <w:rPr>
          <w:b/>
        </w:rPr>
        <w:t>ABSTRAK</w:t>
      </w:r>
    </w:p>
    <w:p w:rsidR="00F57904" w:rsidRDefault="00000000">
      <w:pPr>
        <w:spacing w:after="120"/>
        <w:ind w:firstLine="720"/>
        <w:jc w:val="both"/>
      </w:pPr>
      <w:r>
        <w:t>Anemia dalam kehamilan masih menjadi masalah kesehatan serius yang berdampak pada ibu dan janin, seperti risiko kelahiran prematur, berat badan lahir rendah, hingga kematian perinatal. Penelitian ini bertujuan untuk mengetahui gambaran karakteristik penderita anemia dalam kehamilan di Puskesmas Somba Opu. Penelitian menggunakan desain deskriptif dengan pendekatan cross sectional, dilaksanakan pada bulan Juni–Juli 2025 dengan total sampel sebanyak 80 ibu hamil yang mengalami anemia, diperoleh melalui total sampling. Data diperoleh dari rekam medis pasien dan dianalisis secara deskriptif menggunakan distribusi frekuensi dan persentase. Hasil penelitian menunjukkan sebagian besar ibu hamil yang mengalami anemia berada pada kelompok usia 26–31 tahun (42,5%), tingkat pendidikan terakhir SMA (68,8%), serta mayoritas tidak bekerja di sektor formal (ibu rumah tangga 75%). Berdasarkan usia kehamilan, anemia paling banyak terjadi pada trimester kedua (85%), dengan dominasi multipara (72,5%) dan suku Makassar (75%). Tingkat anemia yang terbanyak adalah kategori ringan (40%), diikuti sedang (23,8%), dan tidak ditemukan kasus anemia berat. Hasil ini menegaskan bahwa anemia ringan masih mendominasi, namun tetap memerlukan perhatian serius. Penatalaksanaan anemia pada ibu hamil perlu dilakukan melalui intervensi komprehensif yang memperhatikan faktor sosial, budaya, dan fisiologis, serta peningkatan edukasi gizi dan kepatuhan konsumsi tablet tambah darah.</w:t>
      </w:r>
    </w:p>
    <w:p w:rsidR="00F57904" w:rsidRDefault="00000000">
      <w:pPr>
        <w:spacing w:after="120"/>
        <w:jc w:val="both"/>
      </w:pPr>
      <w:r>
        <w:t>Kata Kunci:  Anemia, Kehamilan, Karakteristik Ibu, Trimester, Puskesmas</w:t>
      </w:r>
    </w:p>
    <w:p w:rsidR="00F57904" w:rsidRDefault="00000000">
      <w:pPr>
        <w:spacing w:after="120"/>
        <w:rPr>
          <w:i/>
        </w:rPr>
      </w:pPr>
      <w:r>
        <w:rPr>
          <w:b/>
          <w:i/>
        </w:rPr>
        <w:t>ABSTRACT</w:t>
      </w:r>
    </w:p>
    <w:p w:rsidR="00F57904" w:rsidRDefault="00000000">
      <w:pPr>
        <w:spacing w:after="120"/>
        <w:ind w:right="11" w:firstLine="720"/>
        <w:jc w:val="both"/>
        <w:rPr>
          <w:i/>
        </w:rPr>
      </w:pPr>
      <w:r>
        <w:rPr>
          <w:i/>
        </w:rPr>
        <w:t xml:space="preserve">Anemia in pregnancy remains a significant public health concern associated with adverse maternal and perinatal outcomes such as preterm birth, low birth weight, and even perinatal mortality. This study aimed to describe the characteristics of pregnant women with anemia at Somba Opu Health Center. A descriptive study with a cross-sectional approach was conducted in June–July 2025 involving a total sample of 80 anemic pregnant women, selected using total sampling. Data were collected from medical records and analyzed descriptively using frequency distribution and percentage. The results showed that most anemic pregnant women were aged 26–31 years (42.5%), had senior high school education (68.8%), and were predominantly housewives (75%). Based on gestational age, the majority of anemia cases occurred in the second trimester (85%), with multiparous women (72.5%) and Makassar ethnicity (75%) being the dominant groups. The highest proportion of anemia severity was mild anemia (40%), followed by moderate anemia (23.8%), with no severe anemia cases identified. These findings indicate that although mild anemia predominates, it still requires serious attention. Comprehensive management should </w:t>
      </w:r>
      <w:r>
        <w:rPr>
          <w:i/>
        </w:rPr>
        <w:lastRenderedPageBreak/>
        <w:t>consider social, cultural, and physiological factors, accompanied by nutritional education and compliance with iron and folic acid supplementation.</w:t>
      </w:r>
    </w:p>
    <w:p w:rsidR="00F57904" w:rsidRDefault="00000000">
      <w:pPr>
        <w:spacing w:after="120"/>
        <w:ind w:left="1080" w:right="14" w:hanging="1080"/>
        <w:sectPr w:rsidR="00F57904" w:rsidSect="00C149A6">
          <w:headerReference w:type="even" r:id="rId7"/>
          <w:headerReference w:type="default" r:id="rId8"/>
          <w:footerReference w:type="even" r:id="rId9"/>
          <w:footerReference w:type="default" r:id="rId10"/>
          <w:headerReference w:type="first" r:id="rId11"/>
          <w:footerReference w:type="first" r:id="rId12"/>
          <w:pgSz w:w="11909" w:h="16834"/>
          <w:pgMar w:top="1418" w:right="1134" w:bottom="1134" w:left="1418" w:header="1060" w:footer="1242" w:gutter="0"/>
          <w:pgNumType w:start="1264"/>
          <w:cols w:space="720"/>
          <w:docGrid w:linePitch="326"/>
        </w:sectPr>
      </w:pPr>
      <w:r>
        <w:rPr>
          <w:i/>
        </w:rPr>
        <w:t>Keywords:Anemia, Pregnancy, Maternal Characteristics, Trimester, Health Center</w:t>
      </w:r>
    </w:p>
    <w:p w:rsidR="00F57904" w:rsidRDefault="00F57904">
      <w:pPr>
        <w:sectPr w:rsidR="00F57904">
          <w:type w:val="continuous"/>
          <w:pgSz w:w="11909" w:h="16834"/>
          <w:pgMar w:top="1418" w:right="1134" w:bottom="1134" w:left="1418" w:header="1060" w:footer="1242" w:gutter="0"/>
          <w:cols w:space="720"/>
        </w:sectPr>
      </w:pPr>
    </w:p>
    <w:p w:rsidR="00F57904" w:rsidRDefault="00000000">
      <w:pPr>
        <w:pStyle w:val="Heading1"/>
        <w:spacing w:after="60"/>
        <w:rPr>
          <w:i w:val="0"/>
          <w:sz w:val="24"/>
          <w:szCs w:val="24"/>
        </w:rPr>
      </w:pPr>
      <w:r>
        <w:rPr>
          <w:i w:val="0"/>
          <w:sz w:val="24"/>
          <w:szCs w:val="24"/>
        </w:rPr>
        <w:t xml:space="preserve">PENDAHULUAN </w:t>
      </w:r>
    </w:p>
    <w:p w:rsidR="00F57904" w:rsidRDefault="00000000">
      <w:pPr>
        <w:ind w:firstLine="360"/>
        <w:jc w:val="both"/>
      </w:pPr>
      <w:r>
        <w:t xml:space="preserve">Menurut World Health Organization (WHO), ibu hamil termasuk kelompok masyarakat yang sangat rentan. Pada tahun 2019, terdapat 32 juta wanita hamil usia 15 sampai 49 tahun yang mengalami anemia, dengan wilayah yang paling terkena anemia adalah Afrika dan Asia Tenggara. Dari hasil Rikesdas 2018, di Indonesia sebanyak 48,9% ibu hamil mengalami anemia1.Sebanyak 84,6% anemia pada ibu hamil terjadi pada kelompok umur 15-24 tahun . Dari hasil Rikesdas 2018, di Indonesia sebanyak 48,9% ibu hamil mengalami anemia </w:t>
      </w:r>
      <w:r>
        <w:rPr>
          <w:vertAlign w:val="superscript"/>
        </w:rPr>
        <w:t>1,2</w:t>
      </w:r>
      <w:r>
        <w:t>.</w:t>
      </w:r>
    </w:p>
    <w:p w:rsidR="00F57904" w:rsidRDefault="00000000">
      <w:pPr>
        <w:ind w:firstLine="360"/>
        <w:jc w:val="both"/>
      </w:pPr>
      <w:r>
        <w:t xml:space="preserve">Mengingat prevalensi yang tinggi ini, rekomendasi untuk skrining anemia dilakukan pada kunjungan prenatal pertama, dan diulang antara 24 dan 28 minggu kehamilan.Anemia pada kehamilan dikaitkan dengan hasil akhir ibu dan perinatal yang buruk, termasuk lahir mati,kelahiran prematur, berat badan lahir rendah, malaria, perdarahan postpartum, ibu hamil yang mengalami anemia dan kematian ibu, transfusi darah, solusio plasenta dan masuk ke unit perawatan intensif ibu. Beberapa faktor seperti pendidikan ibu yang rendah, status sosial ekonomi yang rendah, indeks massa tubuh (BMI) yang rendah, tempat tinggal di perkotaan, paritas, tidak mengonsumsi suplemen zat besi dan asam folat </w:t>
      </w:r>
      <w:r>
        <w:rPr>
          <w:vertAlign w:val="superscript"/>
        </w:rPr>
        <w:t>3</w:t>
      </w:r>
      <w:r>
        <w:t>.</w:t>
      </w:r>
    </w:p>
    <w:p w:rsidR="00F57904" w:rsidRDefault="00000000">
      <w:pPr>
        <w:ind w:firstLine="360"/>
        <w:jc w:val="both"/>
      </w:pPr>
      <w:r>
        <w:t xml:space="preserve">Darah ibu bertindak sebagai media yang memungkinkan penyediaan nutrisi, pertukaran gas, dan pembuangan limbah bagi janin yang sedang berkembang. Plasenta di sini berfungsi sebagai penjaga gerbang pertukaran ini. Darah ibu membanjiri ruang antarvilus, tempat perpindahan terjadi melalui transpor aktif dan pasif. Karbon dioksida, urea, asam urat, dan kreatinin dibuang ke dalam darah ibu dari sirkulasi janin. Darah ibu mengandung </w:t>
      </w:r>
      <w:r>
        <w:t>antibodi IgG yang berdifusi melalui plasenta dan memberikan kekebalan pasif alami kepada bayi selama beberapa bulan pertama kehidupan yang penting</w:t>
      </w:r>
      <w:r>
        <w:rPr>
          <w:vertAlign w:val="superscript"/>
        </w:rPr>
        <w:t>4</w:t>
      </w:r>
      <w:r>
        <w:t>.</w:t>
      </w:r>
    </w:p>
    <w:p w:rsidR="00F57904" w:rsidRDefault="00000000">
      <w:pPr>
        <w:ind w:firstLine="360"/>
        <w:jc w:val="both"/>
      </w:pPr>
      <w:r>
        <w:t>Sesaat sebelum mencapai cukup bulan, volume darah ibu sekitar 30% di atas batas normal. Kelebihan ini kemungkinan besar disebabkan oleh peningkatan kadar estrogen dan aldosteron, yang menyebabkan ginjal menahan lebih banyak cairan. Jumlah eritrosit yang lebih tinggi menyertai kelebihan cairan ini dengan sedikit peningkatan rata-rata volume sel darah pada kehamilan yang sehat. Oleh karena itu, saat melahirkan, terdapat kelebihan darah antara 1 hingga 2 liter di sistem peredaran darah ibu</w:t>
      </w:r>
      <w:r>
        <w:rPr>
          <w:vertAlign w:val="superscript"/>
        </w:rPr>
        <w:t>5</w:t>
      </w:r>
      <w:r>
        <w:t>.</w:t>
      </w:r>
    </w:p>
    <w:p w:rsidR="00F57904" w:rsidRDefault="00000000">
      <w:pPr>
        <w:ind w:firstLine="360"/>
        <w:jc w:val="both"/>
      </w:pPr>
      <w:r>
        <w:t>Faktor-faktor yang berkontribusi pada risiko anemia selama kehamilan antara lain rendahnya tingkat pendidikan ibu, status sosial ekonomi yang tidak mendukung, kondisi gizi yang kurang baik, dan jarak kehamilan yang pendek sehingga cadangan zat besi tidak sempat pulih. Di Puskesmas Somba Opu, seperti di wilayah lainnya, karakteristik ibu hamil yang mengalami anemia juga dipengaruhi oleh pola makan yang kurang bervariasi dan kurangnya kepatuhan dalam mengonsumsi tablet zat besi serta suplemen asam folat selama masa kehamilan</w:t>
      </w:r>
      <w:r>
        <w:rPr>
          <w:vertAlign w:val="superscript"/>
        </w:rPr>
        <w:t>6</w:t>
      </w:r>
      <w:r>
        <w:t>. Selain itu, anemia pada ibu hamil tidak hanya berdampak pada kesehatan ibu tetapi juga berpengaruh pada pertumbuhan dan perkembangan janin. Risiko keguguran, lahir prematur, bayi dengan berat lahir rendah, hingga kematian perinatal lebih tinggi pada ibu dengan anemia</w:t>
      </w:r>
      <w:r>
        <w:rPr>
          <w:vertAlign w:val="superscript"/>
        </w:rPr>
        <w:t>7</w:t>
      </w:r>
      <w:r>
        <w:t>.</w:t>
      </w:r>
    </w:p>
    <w:p w:rsidR="00F57904" w:rsidRDefault="00F57904">
      <w:pPr>
        <w:ind w:firstLine="360"/>
        <w:jc w:val="both"/>
      </w:pPr>
    </w:p>
    <w:p w:rsidR="00F57904" w:rsidRDefault="00000000">
      <w:pPr>
        <w:pStyle w:val="Heading1"/>
        <w:spacing w:after="60"/>
        <w:rPr>
          <w:i w:val="0"/>
          <w:sz w:val="24"/>
          <w:szCs w:val="24"/>
        </w:rPr>
      </w:pPr>
      <w:r>
        <w:rPr>
          <w:i w:val="0"/>
          <w:sz w:val="24"/>
          <w:szCs w:val="24"/>
        </w:rPr>
        <w:t>METODOLOGI</w:t>
      </w:r>
    </w:p>
    <w:p w:rsidR="00F57904" w:rsidRDefault="00000000">
      <w:pPr>
        <w:ind w:firstLine="360"/>
        <w:jc w:val="both"/>
      </w:pPr>
      <w:r>
        <w:t xml:space="preserve">Jenis penelitan yang digunakan yaitu penelitian deskriptif. Penelitian deskriptif merupakan jenis metode penelitian yang bertujuan mendeskripsikan atau </w:t>
      </w:r>
      <w:r>
        <w:lastRenderedPageBreak/>
        <w:t>menggambarkan karakteristik suatu fenomena, populasi, atau situasi tertentu. Sedangkan untuk desain penelitian yaitu pendekatan cross sectional untuk mengetahui gambaran karakteristik penderita anemia dalam kehamilan yang ada pada Puskesmas Somba Opu. Cross sectional merupakan penelitian untuk memberikan gambaran tentang karakteristik atau fenomena yang ada dan bagaimana mereka tersebar di populasi yang diteliti pada waktu tertentu.</w:t>
      </w:r>
    </w:p>
    <w:p w:rsidR="00F57904" w:rsidRDefault="00000000">
      <w:pPr>
        <w:ind w:firstLine="360"/>
        <w:jc w:val="both"/>
      </w:pPr>
      <w:r>
        <w:t xml:space="preserve">Penelitian ini akan dilaksanakan di wilayah kerja Puskesmas Somba Opu pada bulan Juni hingga Juli 2025. Populasi dalam penelitian ini adalah setiap ibu hamil yang telah didiagnosis menderita anemia dirawat di Puskesmas Somba Opu. Sampel dalam penelitian ini berjumlah 80 orang  menggunakan total sampling yakni semua populasi yang memenuhi kritei inklusi sampel di pilih menjadi sampel penelitian. </w:t>
      </w:r>
    </w:p>
    <w:p w:rsidR="00F57904" w:rsidRDefault="00000000">
      <w:pPr>
        <w:spacing w:after="200"/>
        <w:ind w:firstLine="360"/>
        <w:jc w:val="both"/>
      </w:pPr>
      <w:r>
        <w:t>Data dikumpulkan melalui rekam medis pasien, kemudian diolah menggunakan perangkat lunak Microsoft Excel. Analisis data dilakukan secara deskriptif dengan menyajikan distribusi frekuensi dan persentase untuk menggambarkan karakteristik demografis maupun klinis responden</w:t>
      </w:r>
    </w:p>
    <w:p w:rsidR="00F57904" w:rsidRDefault="00000000">
      <w:pPr>
        <w:spacing w:after="200"/>
        <w:jc w:val="both"/>
      </w:pPr>
      <w:r>
        <w:rPr>
          <w:b/>
        </w:rPr>
        <w:t>HASIL DAN PEMBAHASAN</w:t>
      </w:r>
    </w:p>
    <w:p w:rsidR="00F57904" w:rsidRDefault="00000000">
      <w:r>
        <w:t>HASIL</w:t>
      </w:r>
    </w:p>
    <w:p w:rsidR="00F57904" w:rsidRDefault="00000000">
      <w:pPr>
        <w:spacing w:after="240"/>
        <w:ind w:firstLine="360"/>
        <w:jc w:val="both"/>
      </w:pPr>
      <w:r>
        <w:t xml:space="preserve">Penelitian yang didapatkan sebanyak 80 sampel pada rekam medis adalah sebagai berikut : </w:t>
      </w:r>
    </w:p>
    <w:p w:rsidR="00F57904" w:rsidRDefault="00000000">
      <w:pPr>
        <w:ind w:firstLine="360"/>
        <w:jc w:val="center"/>
      </w:pPr>
      <w:r>
        <w:rPr>
          <w:b/>
        </w:rPr>
        <w:t>Tabel 1. Distrbusi Frekuensi Pada Penderita Anemia dalam Kehamilan di Puskesmas Somba Opu Makassar</w:t>
      </w:r>
    </w:p>
    <w:tbl>
      <w:tblPr>
        <w:tblStyle w:val="a"/>
        <w:tblW w:w="4783" w:type="dxa"/>
        <w:tblInd w:w="-100" w:type="dxa"/>
        <w:tblLayout w:type="fixed"/>
        <w:tblLook w:val="0000" w:firstRow="0" w:lastRow="0" w:firstColumn="0" w:lastColumn="0" w:noHBand="0" w:noVBand="0"/>
      </w:tblPr>
      <w:tblGrid>
        <w:gridCol w:w="2368"/>
        <w:gridCol w:w="851"/>
        <w:gridCol w:w="1514"/>
        <w:gridCol w:w="50"/>
      </w:tblGrid>
      <w:tr w:rsidR="00F57904">
        <w:trPr>
          <w:cantSplit/>
          <w:trHeight w:val="345"/>
        </w:trPr>
        <w:tc>
          <w:tcPr>
            <w:tcW w:w="2368" w:type="dxa"/>
            <w:vMerge w:val="restart"/>
            <w:tcBorders>
              <w:top w:val="single" w:sz="6" w:space="0" w:color="000000"/>
              <w:bottom w:val="single" w:sz="6" w:space="0" w:color="000000"/>
            </w:tcBorders>
            <w:tcMar>
              <w:top w:w="0" w:type="dxa"/>
              <w:left w:w="100" w:type="dxa"/>
              <w:bottom w:w="0" w:type="dxa"/>
              <w:right w:w="100" w:type="dxa"/>
            </w:tcMar>
          </w:tcPr>
          <w:p w:rsidR="00F57904" w:rsidRDefault="00000000">
            <w:pPr>
              <w:ind w:firstLine="360"/>
              <w:jc w:val="both"/>
            </w:pPr>
            <w:r>
              <w:rPr>
                <w:b/>
              </w:rPr>
              <w:t>Variabel</w:t>
            </w:r>
          </w:p>
        </w:tc>
        <w:tc>
          <w:tcPr>
            <w:tcW w:w="2415" w:type="dxa"/>
            <w:gridSpan w:val="3"/>
            <w:tcBorders>
              <w:top w:val="single" w:sz="6" w:space="0" w:color="000000"/>
              <w:bottom w:val="single" w:sz="6" w:space="0" w:color="000000"/>
            </w:tcBorders>
            <w:tcMar>
              <w:top w:w="0" w:type="dxa"/>
              <w:left w:w="100" w:type="dxa"/>
              <w:bottom w:w="0" w:type="dxa"/>
              <w:right w:w="100" w:type="dxa"/>
            </w:tcMar>
          </w:tcPr>
          <w:p w:rsidR="00F57904" w:rsidRDefault="00000000">
            <w:pPr>
              <w:jc w:val="both"/>
            </w:pPr>
            <w:r>
              <w:rPr>
                <w:b/>
              </w:rPr>
              <w:t>Distribusi Frekuensi</w:t>
            </w:r>
          </w:p>
        </w:tc>
      </w:tr>
      <w:tr w:rsidR="00F57904">
        <w:trPr>
          <w:cantSplit/>
          <w:trHeight w:val="345"/>
        </w:trPr>
        <w:tc>
          <w:tcPr>
            <w:tcW w:w="2368" w:type="dxa"/>
            <w:vMerge/>
            <w:tcBorders>
              <w:top w:val="single" w:sz="6" w:space="0" w:color="000000"/>
              <w:bottom w:val="single" w:sz="6" w:space="0" w:color="000000"/>
            </w:tcBorders>
            <w:tcMar>
              <w:top w:w="0" w:type="dxa"/>
              <w:left w:w="100" w:type="dxa"/>
              <w:bottom w:w="0" w:type="dxa"/>
              <w:right w:w="100" w:type="dxa"/>
            </w:tcMar>
          </w:tcPr>
          <w:p w:rsidR="00F57904" w:rsidRDefault="00F57904">
            <w:pPr>
              <w:widowControl w:val="0"/>
              <w:pBdr>
                <w:top w:val="nil"/>
                <w:left w:val="nil"/>
                <w:bottom w:val="nil"/>
                <w:right w:val="nil"/>
                <w:between w:val="nil"/>
              </w:pBdr>
              <w:spacing w:line="276" w:lineRule="auto"/>
            </w:pPr>
          </w:p>
        </w:tc>
        <w:tc>
          <w:tcPr>
            <w:tcW w:w="851" w:type="dxa"/>
            <w:tcBorders>
              <w:top w:val="single" w:sz="6" w:space="0" w:color="000000"/>
              <w:bottom w:val="single" w:sz="6" w:space="0" w:color="000000"/>
            </w:tcBorders>
            <w:tcMar>
              <w:top w:w="0" w:type="dxa"/>
              <w:left w:w="100" w:type="dxa"/>
              <w:bottom w:w="0" w:type="dxa"/>
              <w:right w:w="100" w:type="dxa"/>
            </w:tcMar>
          </w:tcPr>
          <w:p w:rsidR="00F57904" w:rsidRDefault="00000000">
            <w:pPr>
              <w:ind w:firstLine="360"/>
              <w:jc w:val="both"/>
            </w:pPr>
            <w:r>
              <w:rPr>
                <w:b/>
              </w:rPr>
              <w:t>n</w:t>
            </w:r>
          </w:p>
        </w:tc>
        <w:tc>
          <w:tcPr>
            <w:tcW w:w="1514" w:type="dxa"/>
            <w:tcBorders>
              <w:top w:val="single" w:sz="6" w:space="0" w:color="000000"/>
              <w:bottom w:val="single" w:sz="6" w:space="0" w:color="000000"/>
            </w:tcBorders>
            <w:tcMar>
              <w:top w:w="0" w:type="dxa"/>
              <w:left w:w="100" w:type="dxa"/>
              <w:bottom w:w="0" w:type="dxa"/>
              <w:right w:w="100" w:type="dxa"/>
            </w:tcMar>
          </w:tcPr>
          <w:p w:rsidR="00F57904" w:rsidRDefault="00000000">
            <w:pPr>
              <w:ind w:firstLine="360"/>
              <w:jc w:val="both"/>
            </w:pPr>
            <w:r>
              <w:rPr>
                <w:b/>
              </w:rPr>
              <w:t>%</w:t>
            </w:r>
          </w:p>
        </w:tc>
        <w:tc>
          <w:tcPr>
            <w:tcW w:w="50" w:type="dxa"/>
            <w:vAlign w:val="center"/>
          </w:tcPr>
          <w:p w:rsidR="00F57904" w:rsidRDefault="00F57904">
            <w:pPr>
              <w:ind w:firstLine="360"/>
              <w:jc w:val="both"/>
            </w:pPr>
          </w:p>
        </w:tc>
      </w:tr>
      <w:tr w:rsidR="00F57904">
        <w:trPr>
          <w:trHeight w:val="345"/>
        </w:trPr>
        <w:tc>
          <w:tcPr>
            <w:tcW w:w="2368" w:type="dxa"/>
            <w:tcBorders>
              <w:top w:val="single" w:sz="8" w:space="0" w:color="000000"/>
            </w:tcBorders>
            <w:tcMar>
              <w:top w:w="0" w:type="dxa"/>
              <w:left w:w="100" w:type="dxa"/>
              <w:bottom w:w="0" w:type="dxa"/>
              <w:right w:w="100" w:type="dxa"/>
            </w:tcMar>
          </w:tcPr>
          <w:p w:rsidR="00F57904" w:rsidRDefault="00000000">
            <w:pPr>
              <w:jc w:val="both"/>
            </w:pPr>
            <w:r>
              <w:rPr>
                <w:b/>
              </w:rPr>
              <w:t>Usia (tahun)</w:t>
            </w:r>
          </w:p>
        </w:tc>
        <w:tc>
          <w:tcPr>
            <w:tcW w:w="851" w:type="dxa"/>
            <w:tcBorders>
              <w:top w:val="single" w:sz="6" w:space="0" w:color="000000"/>
            </w:tcBorders>
            <w:tcMar>
              <w:top w:w="0" w:type="dxa"/>
              <w:left w:w="100" w:type="dxa"/>
              <w:bottom w:w="0" w:type="dxa"/>
              <w:right w:w="100" w:type="dxa"/>
            </w:tcMar>
          </w:tcPr>
          <w:p w:rsidR="00F57904" w:rsidRDefault="00000000">
            <w:pPr>
              <w:ind w:firstLine="360"/>
              <w:jc w:val="both"/>
            </w:pPr>
            <w:r>
              <w:t> </w:t>
            </w:r>
          </w:p>
        </w:tc>
        <w:tc>
          <w:tcPr>
            <w:tcW w:w="1514" w:type="dxa"/>
            <w:tcBorders>
              <w:top w:val="single" w:sz="6" w:space="0" w:color="000000"/>
            </w:tcBorders>
            <w:tcMar>
              <w:top w:w="0" w:type="dxa"/>
              <w:left w:w="100" w:type="dxa"/>
              <w:bottom w:w="0" w:type="dxa"/>
              <w:right w:w="100" w:type="dxa"/>
            </w:tcMar>
          </w:tcPr>
          <w:p w:rsidR="00F57904" w:rsidRDefault="00000000">
            <w:pPr>
              <w:ind w:firstLine="360"/>
              <w:jc w:val="both"/>
            </w:pPr>
            <w:r>
              <w:t> </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&lt;20</w:t>
            </w:r>
          </w:p>
        </w:tc>
        <w:tc>
          <w:tcPr>
            <w:tcW w:w="851" w:type="dxa"/>
            <w:tcMar>
              <w:top w:w="0" w:type="dxa"/>
              <w:left w:w="100" w:type="dxa"/>
              <w:bottom w:w="0" w:type="dxa"/>
              <w:right w:w="100" w:type="dxa"/>
            </w:tcMar>
          </w:tcPr>
          <w:p w:rsidR="00F57904" w:rsidRDefault="00000000">
            <w:pPr>
              <w:ind w:firstLine="360"/>
              <w:jc w:val="both"/>
            </w:pPr>
            <w:r>
              <w:t>9</w:t>
            </w:r>
          </w:p>
        </w:tc>
        <w:tc>
          <w:tcPr>
            <w:tcW w:w="1514" w:type="dxa"/>
            <w:tcMar>
              <w:top w:w="0" w:type="dxa"/>
              <w:left w:w="100" w:type="dxa"/>
              <w:bottom w:w="0" w:type="dxa"/>
              <w:right w:w="100" w:type="dxa"/>
            </w:tcMar>
          </w:tcPr>
          <w:p w:rsidR="00F57904" w:rsidRDefault="00000000">
            <w:pPr>
              <w:ind w:firstLine="360"/>
              <w:jc w:val="both"/>
            </w:pPr>
            <w:r>
              <w:t>11,3</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20 – 25</w:t>
            </w:r>
          </w:p>
        </w:tc>
        <w:tc>
          <w:tcPr>
            <w:tcW w:w="851" w:type="dxa"/>
            <w:tcMar>
              <w:top w:w="0" w:type="dxa"/>
              <w:left w:w="100" w:type="dxa"/>
              <w:bottom w:w="0" w:type="dxa"/>
              <w:right w:w="100" w:type="dxa"/>
            </w:tcMar>
          </w:tcPr>
          <w:p w:rsidR="00F57904" w:rsidRDefault="00000000">
            <w:pPr>
              <w:ind w:firstLine="360"/>
              <w:jc w:val="both"/>
            </w:pPr>
            <w:r>
              <w:t>26</w:t>
            </w:r>
          </w:p>
        </w:tc>
        <w:tc>
          <w:tcPr>
            <w:tcW w:w="1514" w:type="dxa"/>
            <w:tcMar>
              <w:top w:w="0" w:type="dxa"/>
              <w:left w:w="100" w:type="dxa"/>
              <w:bottom w:w="0" w:type="dxa"/>
              <w:right w:w="100" w:type="dxa"/>
            </w:tcMar>
          </w:tcPr>
          <w:p w:rsidR="00F57904" w:rsidRDefault="00000000">
            <w:pPr>
              <w:ind w:firstLine="360"/>
              <w:jc w:val="both"/>
            </w:pPr>
            <w:r>
              <w:t>32,5</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26 – 31</w:t>
            </w:r>
          </w:p>
        </w:tc>
        <w:tc>
          <w:tcPr>
            <w:tcW w:w="851" w:type="dxa"/>
            <w:tcMar>
              <w:top w:w="0" w:type="dxa"/>
              <w:left w:w="100" w:type="dxa"/>
              <w:bottom w:w="0" w:type="dxa"/>
              <w:right w:w="100" w:type="dxa"/>
            </w:tcMar>
          </w:tcPr>
          <w:p w:rsidR="00F57904" w:rsidRDefault="00000000">
            <w:pPr>
              <w:ind w:firstLine="360"/>
              <w:jc w:val="both"/>
            </w:pPr>
            <w:r>
              <w:t>34</w:t>
            </w:r>
          </w:p>
        </w:tc>
        <w:tc>
          <w:tcPr>
            <w:tcW w:w="1514" w:type="dxa"/>
            <w:tcMar>
              <w:top w:w="0" w:type="dxa"/>
              <w:left w:w="100" w:type="dxa"/>
              <w:bottom w:w="0" w:type="dxa"/>
              <w:right w:w="100" w:type="dxa"/>
            </w:tcMar>
          </w:tcPr>
          <w:p w:rsidR="00F57904" w:rsidRDefault="00000000">
            <w:pPr>
              <w:ind w:firstLine="360"/>
              <w:jc w:val="both"/>
            </w:pPr>
            <w:r>
              <w:t>42,5</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32 – 37</w:t>
            </w:r>
          </w:p>
        </w:tc>
        <w:tc>
          <w:tcPr>
            <w:tcW w:w="851" w:type="dxa"/>
            <w:tcMar>
              <w:top w:w="0" w:type="dxa"/>
              <w:left w:w="100" w:type="dxa"/>
              <w:bottom w:w="0" w:type="dxa"/>
              <w:right w:w="100" w:type="dxa"/>
            </w:tcMar>
          </w:tcPr>
          <w:p w:rsidR="00F57904" w:rsidRDefault="00000000">
            <w:pPr>
              <w:ind w:firstLine="360"/>
              <w:jc w:val="both"/>
            </w:pPr>
            <w:r>
              <w:t>8</w:t>
            </w:r>
          </w:p>
        </w:tc>
        <w:tc>
          <w:tcPr>
            <w:tcW w:w="1514" w:type="dxa"/>
            <w:tcMar>
              <w:top w:w="0" w:type="dxa"/>
              <w:left w:w="100" w:type="dxa"/>
              <w:bottom w:w="0" w:type="dxa"/>
              <w:right w:w="100" w:type="dxa"/>
            </w:tcMar>
          </w:tcPr>
          <w:p w:rsidR="00F57904" w:rsidRDefault="00000000">
            <w:pPr>
              <w:ind w:firstLine="360"/>
              <w:jc w:val="both"/>
            </w:pPr>
            <w:r>
              <w:t>10,0</w:t>
            </w:r>
          </w:p>
        </w:tc>
        <w:tc>
          <w:tcPr>
            <w:tcW w:w="50" w:type="dxa"/>
            <w:vAlign w:val="center"/>
          </w:tcPr>
          <w:p w:rsidR="00F57904" w:rsidRDefault="00F57904">
            <w:pPr>
              <w:ind w:firstLine="360"/>
              <w:jc w:val="both"/>
            </w:pPr>
          </w:p>
        </w:tc>
      </w:tr>
      <w:tr w:rsidR="00F57904" w:rsidTr="00D437E7">
        <w:trPr>
          <w:trHeight w:val="345"/>
        </w:trPr>
        <w:tc>
          <w:tcPr>
            <w:tcW w:w="2368" w:type="dxa"/>
            <w:tcBorders>
              <w:bottom w:val="single" w:sz="4" w:space="0" w:color="auto"/>
            </w:tcBorders>
            <w:tcMar>
              <w:top w:w="0" w:type="dxa"/>
              <w:left w:w="100" w:type="dxa"/>
              <w:bottom w:w="0" w:type="dxa"/>
              <w:right w:w="100" w:type="dxa"/>
            </w:tcMar>
          </w:tcPr>
          <w:p w:rsidR="00F57904" w:rsidRDefault="00000000">
            <w:pPr>
              <w:jc w:val="both"/>
            </w:pPr>
            <w:r>
              <w:t>&gt;38</w:t>
            </w:r>
          </w:p>
        </w:tc>
        <w:tc>
          <w:tcPr>
            <w:tcW w:w="851" w:type="dxa"/>
            <w:tcBorders>
              <w:bottom w:val="single" w:sz="4" w:space="0" w:color="auto"/>
            </w:tcBorders>
            <w:tcMar>
              <w:top w:w="0" w:type="dxa"/>
              <w:left w:w="100" w:type="dxa"/>
              <w:bottom w:w="0" w:type="dxa"/>
              <w:right w:w="100" w:type="dxa"/>
            </w:tcMar>
          </w:tcPr>
          <w:p w:rsidR="00F57904" w:rsidRDefault="00000000">
            <w:pPr>
              <w:ind w:firstLine="360"/>
              <w:jc w:val="both"/>
            </w:pPr>
            <w:r>
              <w:t>3</w:t>
            </w:r>
          </w:p>
        </w:tc>
        <w:tc>
          <w:tcPr>
            <w:tcW w:w="1514" w:type="dxa"/>
            <w:tcBorders>
              <w:bottom w:val="single" w:sz="4" w:space="0" w:color="auto"/>
            </w:tcBorders>
            <w:tcMar>
              <w:top w:w="0" w:type="dxa"/>
              <w:left w:w="100" w:type="dxa"/>
              <w:bottom w:w="0" w:type="dxa"/>
              <w:right w:w="100" w:type="dxa"/>
            </w:tcMar>
          </w:tcPr>
          <w:p w:rsidR="00F57904" w:rsidRDefault="00000000">
            <w:pPr>
              <w:ind w:firstLine="360"/>
              <w:jc w:val="both"/>
            </w:pPr>
            <w:r>
              <w:t>3,8</w:t>
            </w:r>
          </w:p>
        </w:tc>
        <w:tc>
          <w:tcPr>
            <w:tcW w:w="50" w:type="dxa"/>
            <w:tcBorders>
              <w:bottom w:val="single" w:sz="4" w:space="0" w:color="auto"/>
            </w:tcBorders>
            <w:vAlign w:val="center"/>
          </w:tcPr>
          <w:p w:rsidR="00F57904" w:rsidRDefault="00F57904">
            <w:pPr>
              <w:ind w:firstLine="360"/>
              <w:jc w:val="both"/>
            </w:pPr>
          </w:p>
        </w:tc>
      </w:tr>
      <w:tr w:rsidR="00F57904" w:rsidTr="00D437E7">
        <w:trPr>
          <w:trHeight w:val="345"/>
        </w:trPr>
        <w:tc>
          <w:tcPr>
            <w:tcW w:w="2368" w:type="dxa"/>
            <w:tcBorders>
              <w:top w:val="single" w:sz="4" w:space="0" w:color="auto"/>
            </w:tcBorders>
            <w:tcMar>
              <w:top w:w="0" w:type="dxa"/>
              <w:left w:w="100" w:type="dxa"/>
              <w:bottom w:w="0" w:type="dxa"/>
              <w:right w:w="100" w:type="dxa"/>
            </w:tcMar>
          </w:tcPr>
          <w:p w:rsidR="00F57904" w:rsidRDefault="00000000">
            <w:pPr>
              <w:jc w:val="both"/>
            </w:pPr>
            <w:r>
              <w:rPr>
                <w:b/>
              </w:rPr>
              <w:t>Status Pekerjaan</w:t>
            </w:r>
          </w:p>
        </w:tc>
        <w:tc>
          <w:tcPr>
            <w:tcW w:w="851"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1514"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50" w:type="dxa"/>
            <w:tcBorders>
              <w:top w:val="single" w:sz="4" w:space="0" w:color="auto"/>
            </w:tcBorders>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Ibu Rumah Tangga</w:t>
            </w:r>
          </w:p>
        </w:tc>
        <w:tc>
          <w:tcPr>
            <w:tcW w:w="851" w:type="dxa"/>
            <w:tcMar>
              <w:top w:w="0" w:type="dxa"/>
              <w:left w:w="100" w:type="dxa"/>
              <w:bottom w:w="0" w:type="dxa"/>
              <w:right w:w="100" w:type="dxa"/>
            </w:tcMar>
          </w:tcPr>
          <w:p w:rsidR="00F57904" w:rsidRDefault="00000000">
            <w:pPr>
              <w:ind w:firstLine="360"/>
              <w:jc w:val="both"/>
            </w:pPr>
            <w:r>
              <w:t>7</w:t>
            </w:r>
          </w:p>
        </w:tc>
        <w:tc>
          <w:tcPr>
            <w:tcW w:w="1514" w:type="dxa"/>
            <w:tcMar>
              <w:top w:w="0" w:type="dxa"/>
              <w:left w:w="100" w:type="dxa"/>
              <w:bottom w:w="0" w:type="dxa"/>
              <w:right w:w="100" w:type="dxa"/>
            </w:tcMar>
          </w:tcPr>
          <w:p w:rsidR="00F57904" w:rsidRDefault="00000000">
            <w:pPr>
              <w:ind w:firstLine="360"/>
              <w:jc w:val="both"/>
            </w:pPr>
            <w:r>
              <w:t>30,4</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Karyawan Swasta</w:t>
            </w:r>
          </w:p>
        </w:tc>
        <w:tc>
          <w:tcPr>
            <w:tcW w:w="851" w:type="dxa"/>
            <w:tcMar>
              <w:top w:w="0" w:type="dxa"/>
              <w:left w:w="100" w:type="dxa"/>
              <w:bottom w:w="0" w:type="dxa"/>
              <w:right w:w="100" w:type="dxa"/>
            </w:tcMar>
          </w:tcPr>
          <w:p w:rsidR="00F57904" w:rsidRDefault="00000000">
            <w:pPr>
              <w:ind w:firstLine="360"/>
              <w:jc w:val="both"/>
            </w:pPr>
            <w:r>
              <w:t>8</w:t>
            </w:r>
          </w:p>
        </w:tc>
        <w:tc>
          <w:tcPr>
            <w:tcW w:w="1514" w:type="dxa"/>
            <w:tcMar>
              <w:top w:w="0" w:type="dxa"/>
              <w:left w:w="100" w:type="dxa"/>
              <w:bottom w:w="0" w:type="dxa"/>
              <w:right w:w="100" w:type="dxa"/>
            </w:tcMar>
          </w:tcPr>
          <w:p w:rsidR="00F57904" w:rsidRDefault="00000000">
            <w:pPr>
              <w:ind w:firstLine="360"/>
              <w:jc w:val="both"/>
            </w:pPr>
            <w:r>
              <w:t>34,8</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Pedagang</w:t>
            </w:r>
          </w:p>
        </w:tc>
        <w:tc>
          <w:tcPr>
            <w:tcW w:w="851" w:type="dxa"/>
            <w:tcMar>
              <w:top w:w="0" w:type="dxa"/>
              <w:left w:w="100" w:type="dxa"/>
              <w:bottom w:w="0" w:type="dxa"/>
              <w:right w:w="100" w:type="dxa"/>
            </w:tcMar>
          </w:tcPr>
          <w:p w:rsidR="00F57904" w:rsidRDefault="00000000">
            <w:pPr>
              <w:ind w:firstLine="360"/>
              <w:jc w:val="both"/>
            </w:pPr>
            <w:r>
              <w:t>4</w:t>
            </w:r>
          </w:p>
        </w:tc>
        <w:tc>
          <w:tcPr>
            <w:tcW w:w="1514" w:type="dxa"/>
            <w:tcMar>
              <w:top w:w="0" w:type="dxa"/>
              <w:left w:w="100" w:type="dxa"/>
              <w:bottom w:w="0" w:type="dxa"/>
              <w:right w:w="100" w:type="dxa"/>
            </w:tcMar>
          </w:tcPr>
          <w:p w:rsidR="00F57904" w:rsidRDefault="00000000">
            <w:pPr>
              <w:ind w:firstLine="360"/>
              <w:jc w:val="both"/>
            </w:pPr>
            <w:r>
              <w:t>17,4</w:t>
            </w:r>
          </w:p>
        </w:tc>
        <w:tc>
          <w:tcPr>
            <w:tcW w:w="50" w:type="dxa"/>
            <w:vAlign w:val="center"/>
          </w:tcPr>
          <w:p w:rsidR="00F57904" w:rsidRDefault="00F57904">
            <w:pPr>
              <w:ind w:firstLine="360"/>
              <w:jc w:val="both"/>
            </w:pPr>
          </w:p>
        </w:tc>
      </w:tr>
      <w:tr w:rsidR="00F57904" w:rsidTr="00D437E7">
        <w:trPr>
          <w:trHeight w:val="345"/>
        </w:trPr>
        <w:tc>
          <w:tcPr>
            <w:tcW w:w="2368" w:type="dxa"/>
            <w:tcBorders>
              <w:bottom w:val="single" w:sz="4" w:space="0" w:color="auto"/>
            </w:tcBorders>
            <w:tcMar>
              <w:top w:w="0" w:type="dxa"/>
              <w:left w:w="100" w:type="dxa"/>
              <w:bottom w:w="0" w:type="dxa"/>
              <w:right w:w="100" w:type="dxa"/>
            </w:tcMar>
          </w:tcPr>
          <w:p w:rsidR="00F57904" w:rsidRDefault="00000000">
            <w:pPr>
              <w:jc w:val="both"/>
            </w:pPr>
            <w:r>
              <w:t>Pegawai Negeri Sipil</w:t>
            </w:r>
          </w:p>
        </w:tc>
        <w:tc>
          <w:tcPr>
            <w:tcW w:w="851" w:type="dxa"/>
            <w:tcBorders>
              <w:bottom w:val="single" w:sz="4" w:space="0" w:color="auto"/>
            </w:tcBorders>
            <w:tcMar>
              <w:top w:w="0" w:type="dxa"/>
              <w:left w:w="100" w:type="dxa"/>
              <w:bottom w:w="0" w:type="dxa"/>
              <w:right w:w="100" w:type="dxa"/>
            </w:tcMar>
          </w:tcPr>
          <w:p w:rsidR="00F57904" w:rsidRDefault="00000000">
            <w:pPr>
              <w:ind w:firstLine="360"/>
              <w:jc w:val="both"/>
            </w:pPr>
            <w:r>
              <w:t>2</w:t>
            </w:r>
          </w:p>
        </w:tc>
        <w:tc>
          <w:tcPr>
            <w:tcW w:w="1514" w:type="dxa"/>
            <w:tcBorders>
              <w:bottom w:val="single" w:sz="4" w:space="0" w:color="auto"/>
            </w:tcBorders>
            <w:tcMar>
              <w:top w:w="0" w:type="dxa"/>
              <w:left w:w="100" w:type="dxa"/>
              <w:bottom w:w="0" w:type="dxa"/>
              <w:right w:w="100" w:type="dxa"/>
            </w:tcMar>
          </w:tcPr>
          <w:p w:rsidR="00F57904" w:rsidRDefault="00000000">
            <w:pPr>
              <w:ind w:firstLine="360"/>
              <w:jc w:val="both"/>
            </w:pPr>
            <w:r>
              <w:t>8,7</w:t>
            </w:r>
          </w:p>
        </w:tc>
        <w:tc>
          <w:tcPr>
            <w:tcW w:w="50" w:type="dxa"/>
            <w:tcBorders>
              <w:bottom w:val="single" w:sz="4" w:space="0" w:color="auto"/>
            </w:tcBorders>
            <w:vAlign w:val="center"/>
          </w:tcPr>
          <w:p w:rsidR="00F57904" w:rsidRDefault="00F57904">
            <w:pPr>
              <w:ind w:firstLine="360"/>
              <w:jc w:val="both"/>
            </w:pPr>
          </w:p>
        </w:tc>
      </w:tr>
      <w:tr w:rsidR="00F57904" w:rsidTr="00D437E7">
        <w:trPr>
          <w:trHeight w:val="345"/>
        </w:trPr>
        <w:tc>
          <w:tcPr>
            <w:tcW w:w="2368" w:type="dxa"/>
            <w:tcBorders>
              <w:top w:val="single" w:sz="4" w:space="0" w:color="auto"/>
            </w:tcBorders>
            <w:tcMar>
              <w:top w:w="0" w:type="dxa"/>
              <w:left w:w="100" w:type="dxa"/>
              <w:bottom w:w="0" w:type="dxa"/>
              <w:right w:w="100" w:type="dxa"/>
            </w:tcMar>
          </w:tcPr>
          <w:p w:rsidR="00F57904" w:rsidRDefault="00000000">
            <w:pPr>
              <w:jc w:val="both"/>
            </w:pPr>
            <w:r>
              <w:rPr>
                <w:b/>
              </w:rPr>
              <w:t>Pendidikan Terakhir</w:t>
            </w:r>
          </w:p>
        </w:tc>
        <w:tc>
          <w:tcPr>
            <w:tcW w:w="851"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1514"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50" w:type="dxa"/>
            <w:tcBorders>
              <w:top w:val="single" w:sz="4" w:space="0" w:color="auto"/>
            </w:tcBorders>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SD</w:t>
            </w:r>
          </w:p>
        </w:tc>
        <w:tc>
          <w:tcPr>
            <w:tcW w:w="851" w:type="dxa"/>
            <w:tcMar>
              <w:top w:w="0" w:type="dxa"/>
              <w:left w:w="100" w:type="dxa"/>
              <w:bottom w:w="0" w:type="dxa"/>
              <w:right w:w="100" w:type="dxa"/>
            </w:tcMar>
          </w:tcPr>
          <w:p w:rsidR="00F57904" w:rsidRDefault="00000000">
            <w:pPr>
              <w:ind w:firstLine="360"/>
              <w:jc w:val="both"/>
            </w:pPr>
            <w:r>
              <w:t>3</w:t>
            </w:r>
          </w:p>
        </w:tc>
        <w:tc>
          <w:tcPr>
            <w:tcW w:w="1514" w:type="dxa"/>
            <w:tcMar>
              <w:top w:w="0" w:type="dxa"/>
              <w:left w:w="100" w:type="dxa"/>
              <w:bottom w:w="0" w:type="dxa"/>
              <w:right w:w="100" w:type="dxa"/>
            </w:tcMar>
          </w:tcPr>
          <w:p w:rsidR="00F57904" w:rsidRDefault="00000000">
            <w:pPr>
              <w:ind w:firstLine="360"/>
              <w:jc w:val="both"/>
            </w:pPr>
            <w:r>
              <w:t>3,8</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SMP</w:t>
            </w:r>
          </w:p>
        </w:tc>
        <w:tc>
          <w:tcPr>
            <w:tcW w:w="851" w:type="dxa"/>
            <w:tcMar>
              <w:top w:w="0" w:type="dxa"/>
              <w:left w:w="100" w:type="dxa"/>
              <w:bottom w:w="0" w:type="dxa"/>
              <w:right w:w="100" w:type="dxa"/>
            </w:tcMar>
          </w:tcPr>
          <w:p w:rsidR="00F57904" w:rsidRDefault="00000000">
            <w:pPr>
              <w:ind w:firstLine="360"/>
              <w:jc w:val="both"/>
            </w:pPr>
            <w:r>
              <w:t>10</w:t>
            </w:r>
          </w:p>
        </w:tc>
        <w:tc>
          <w:tcPr>
            <w:tcW w:w="1514" w:type="dxa"/>
            <w:tcMar>
              <w:top w:w="0" w:type="dxa"/>
              <w:left w:w="100" w:type="dxa"/>
              <w:bottom w:w="0" w:type="dxa"/>
              <w:right w:w="100" w:type="dxa"/>
            </w:tcMar>
          </w:tcPr>
          <w:p w:rsidR="00F57904" w:rsidRDefault="00000000">
            <w:pPr>
              <w:ind w:firstLine="360"/>
              <w:jc w:val="both"/>
            </w:pPr>
            <w:r>
              <w:t>12,5</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SMA</w:t>
            </w:r>
          </w:p>
        </w:tc>
        <w:tc>
          <w:tcPr>
            <w:tcW w:w="851" w:type="dxa"/>
            <w:tcMar>
              <w:top w:w="0" w:type="dxa"/>
              <w:left w:w="100" w:type="dxa"/>
              <w:bottom w:w="0" w:type="dxa"/>
              <w:right w:w="100" w:type="dxa"/>
            </w:tcMar>
          </w:tcPr>
          <w:p w:rsidR="00F57904" w:rsidRDefault="00000000">
            <w:pPr>
              <w:ind w:firstLine="360"/>
              <w:jc w:val="both"/>
            </w:pPr>
            <w:r>
              <w:t>55</w:t>
            </w:r>
          </w:p>
        </w:tc>
        <w:tc>
          <w:tcPr>
            <w:tcW w:w="1514" w:type="dxa"/>
            <w:tcMar>
              <w:top w:w="0" w:type="dxa"/>
              <w:left w:w="100" w:type="dxa"/>
              <w:bottom w:w="0" w:type="dxa"/>
              <w:right w:w="100" w:type="dxa"/>
            </w:tcMar>
          </w:tcPr>
          <w:p w:rsidR="00F57904" w:rsidRDefault="00000000">
            <w:pPr>
              <w:ind w:firstLine="360"/>
              <w:jc w:val="both"/>
            </w:pPr>
            <w:r>
              <w:t>68,8</w:t>
            </w:r>
          </w:p>
        </w:tc>
        <w:tc>
          <w:tcPr>
            <w:tcW w:w="50" w:type="dxa"/>
            <w:vAlign w:val="center"/>
          </w:tcPr>
          <w:p w:rsidR="00F57904" w:rsidRDefault="00F57904">
            <w:pPr>
              <w:ind w:firstLine="360"/>
              <w:jc w:val="both"/>
            </w:pPr>
          </w:p>
        </w:tc>
      </w:tr>
      <w:tr w:rsidR="00F57904" w:rsidTr="00D437E7">
        <w:trPr>
          <w:trHeight w:val="345"/>
        </w:trPr>
        <w:tc>
          <w:tcPr>
            <w:tcW w:w="2368" w:type="dxa"/>
            <w:tcBorders>
              <w:bottom w:val="single" w:sz="4" w:space="0" w:color="auto"/>
            </w:tcBorders>
            <w:tcMar>
              <w:top w:w="0" w:type="dxa"/>
              <w:left w:w="100" w:type="dxa"/>
              <w:bottom w:w="0" w:type="dxa"/>
              <w:right w:w="100" w:type="dxa"/>
            </w:tcMar>
          </w:tcPr>
          <w:p w:rsidR="00F57904" w:rsidRDefault="00000000">
            <w:pPr>
              <w:jc w:val="both"/>
            </w:pPr>
            <w:r>
              <w:t>Perguruan Tinggi</w:t>
            </w:r>
          </w:p>
        </w:tc>
        <w:tc>
          <w:tcPr>
            <w:tcW w:w="851" w:type="dxa"/>
            <w:tcBorders>
              <w:bottom w:val="single" w:sz="4" w:space="0" w:color="auto"/>
            </w:tcBorders>
            <w:tcMar>
              <w:top w:w="0" w:type="dxa"/>
              <w:left w:w="100" w:type="dxa"/>
              <w:bottom w:w="0" w:type="dxa"/>
              <w:right w:w="100" w:type="dxa"/>
            </w:tcMar>
          </w:tcPr>
          <w:p w:rsidR="00F57904" w:rsidRDefault="00000000">
            <w:pPr>
              <w:ind w:firstLine="360"/>
              <w:jc w:val="both"/>
            </w:pPr>
            <w:r>
              <w:t>12</w:t>
            </w:r>
          </w:p>
        </w:tc>
        <w:tc>
          <w:tcPr>
            <w:tcW w:w="1514" w:type="dxa"/>
            <w:tcBorders>
              <w:bottom w:val="single" w:sz="4" w:space="0" w:color="auto"/>
            </w:tcBorders>
            <w:tcMar>
              <w:top w:w="0" w:type="dxa"/>
              <w:left w:w="100" w:type="dxa"/>
              <w:bottom w:w="0" w:type="dxa"/>
              <w:right w:w="100" w:type="dxa"/>
            </w:tcMar>
          </w:tcPr>
          <w:p w:rsidR="00F57904" w:rsidRDefault="00000000">
            <w:pPr>
              <w:ind w:firstLine="360"/>
              <w:jc w:val="both"/>
            </w:pPr>
            <w:r>
              <w:t>15,0</w:t>
            </w:r>
          </w:p>
        </w:tc>
        <w:tc>
          <w:tcPr>
            <w:tcW w:w="50" w:type="dxa"/>
            <w:tcBorders>
              <w:bottom w:val="single" w:sz="4" w:space="0" w:color="auto"/>
            </w:tcBorders>
            <w:vAlign w:val="center"/>
          </w:tcPr>
          <w:p w:rsidR="00F57904" w:rsidRDefault="00F57904">
            <w:pPr>
              <w:ind w:firstLine="360"/>
              <w:jc w:val="both"/>
            </w:pPr>
          </w:p>
        </w:tc>
      </w:tr>
      <w:tr w:rsidR="00F57904" w:rsidTr="00D437E7">
        <w:trPr>
          <w:trHeight w:val="345"/>
        </w:trPr>
        <w:tc>
          <w:tcPr>
            <w:tcW w:w="2368" w:type="dxa"/>
            <w:tcBorders>
              <w:top w:val="single" w:sz="4" w:space="0" w:color="auto"/>
            </w:tcBorders>
            <w:tcMar>
              <w:top w:w="0" w:type="dxa"/>
              <w:left w:w="100" w:type="dxa"/>
              <w:bottom w:w="0" w:type="dxa"/>
              <w:right w:w="100" w:type="dxa"/>
            </w:tcMar>
          </w:tcPr>
          <w:p w:rsidR="00F57904" w:rsidRDefault="00000000">
            <w:pPr>
              <w:jc w:val="both"/>
            </w:pPr>
            <w:r>
              <w:rPr>
                <w:b/>
              </w:rPr>
              <w:t>Trimester</w:t>
            </w:r>
          </w:p>
        </w:tc>
        <w:tc>
          <w:tcPr>
            <w:tcW w:w="851"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1514"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50" w:type="dxa"/>
            <w:tcBorders>
              <w:top w:val="single" w:sz="4" w:space="0" w:color="auto"/>
            </w:tcBorders>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1</w:t>
            </w:r>
          </w:p>
        </w:tc>
        <w:tc>
          <w:tcPr>
            <w:tcW w:w="851" w:type="dxa"/>
            <w:tcMar>
              <w:top w:w="0" w:type="dxa"/>
              <w:left w:w="100" w:type="dxa"/>
              <w:bottom w:w="0" w:type="dxa"/>
              <w:right w:w="100" w:type="dxa"/>
            </w:tcMar>
          </w:tcPr>
          <w:p w:rsidR="00F57904" w:rsidRDefault="00000000">
            <w:pPr>
              <w:ind w:firstLine="360"/>
              <w:jc w:val="both"/>
            </w:pPr>
            <w:r>
              <w:t>1</w:t>
            </w:r>
          </w:p>
        </w:tc>
        <w:tc>
          <w:tcPr>
            <w:tcW w:w="1514" w:type="dxa"/>
            <w:tcMar>
              <w:top w:w="0" w:type="dxa"/>
              <w:left w:w="100" w:type="dxa"/>
              <w:bottom w:w="0" w:type="dxa"/>
              <w:right w:w="100" w:type="dxa"/>
            </w:tcMar>
          </w:tcPr>
          <w:p w:rsidR="00F57904" w:rsidRDefault="00000000">
            <w:pPr>
              <w:ind w:firstLine="360"/>
              <w:jc w:val="both"/>
            </w:pPr>
            <w:r>
              <w:t>1,3</w:t>
            </w:r>
          </w:p>
        </w:tc>
        <w:tc>
          <w:tcPr>
            <w:tcW w:w="50" w:type="dxa"/>
            <w:vAlign w:val="center"/>
          </w:tcPr>
          <w:p w:rsidR="00F57904" w:rsidRDefault="00F57904">
            <w:pPr>
              <w:ind w:firstLine="360"/>
              <w:jc w:val="both"/>
            </w:pPr>
          </w:p>
        </w:tc>
      </w:tr>
      <w:tr w:rsidR="00F57904">
        <w:trPr>
          <w:trHeight w:val="345"/>
        </w:trPr>
        <w:tc>
          <w:tcPr>
            <w:tcW w:w="2368" w:type="dxa"/>
            <w:tcMar>
              <w:top w:w="0" w:type="dxa"/>
              <w:left w:w="100" w:type="dxa"/>
              <w:bottom w:w="0" w:type="dxa"/>
              <w:right w:w="100" w:type="dxa"/>
            </w:tcMar>
          </w:tcPr>
          <w:p w:rsidR="00F57904" w:rsidRDefault="00000000">
            <w:pPr>
              <w:jc w:val="both"/>
            </w:pPr>
            <w:r>
              <w:t>2</w:t>
            </w:r>
          </w:p>
        </w:tc>
        <w:tc>
          <w:tcPr>
            <w:tcW w:w="851" w:type="dxa"/>
            <w:tcMar>
              <w:top w:w="0" w:type="dxa"/>
              <w:left w:w="100" w:type="dxa"/>
              <w:bottom w:w="0" w:type="dxa"/>
              <w:right w:w="100" w:type="dxa"/>
            </w:tcMar>
          </w:tcPr>
          <w:p w:rsidR="00F57904" w:rsidRDefault="00000000">
            <w:pPr>
              <w:ind w:firstLine="360"/>
              <w:jc w:val="both"/>
            </w:pPr>
            <w:r>
              <w:t>68</w:t>
            </w:r>
          </w:p>
        </w:tc>
        <w:tc>
          <w:tcPr>
            <w:tcW w:w="1514" w:type="dxa"/>
            <w:tcMar>
              <w:top w:w="0" w:type="dxa"/>
              <w:left w:w="100" w:type="dxa"/>
              <w:bottom w:w="0" w:type="dxa"/>
              <w:right w:w="100" w:type="dxa"/>
            </w:tcMar>
          </w:tcPr>
          <w:p w:rsidR="00F57904" w:rsidRDefault="00000000">
            <w:pPr>
              <w:ind w:firstLine="360"/>
              <w:jc w:val="both"/>
            </w:pPr>
            <w:r>
              <w:t>85,0</w:t>
            </w:r>
          </w:p>
        </w:tc>
        <w:tc>
          <w:tcPr>
            <w:tcW w:w="50" w:type="dxa"/>
            <w:vAlign w:val="center"/>
          </w:tcPr>
          <w:p w:rsidR="00F57904" w:rsidRDefault="00F57904">
            <w:pPr>
              <w:ind w:firstLine="360"/>
              <w:jc w:val="both"/>
            </w:pPr>
          </w:p>
        </w:tc>
      </w:tr>
      <w:tr w:rsidR="00F57904" w:rsidTr="00D437E7">
        <w:trPr>
          <w:trHeight w:val="345"/>
        </w:trPr>
        <w:tc>
          <w:tcPr>
            <w:tcW w:w="2368" w:type="dxa"/>
            <w:tcBorders>
              <w:bottom w:val="single" w:sz="4" w:space="0" w:color="auto"/>
            </w:tcBorders>
            <w:tcMar>
              <w:top w:w="0" w:type="dxa"/>
              <w:left w:w="100" w:type="dxa"/>
              <w:bottom w:w="0" w:type="dxa"/>
              <w:right w:w="100" w:type="dxa"/>
            </w:tcMar>
          </w:tcPr>
          <w:p w:rsidR="00F57904" w:rsidRDefault="00000000">
            <w:pPr>
              <w:jc w:val="both"/>
            </w:pPr>
            <w:r>
              <w:t>3</w:t>
            </w:r>
          </w:p>
        </w:tc>
        <w:tc>
          <w:tcPr>
            <w:tcW w:w="851" w:type="dxa"/>
            <w:tcBorders>
              <w:bottom w:val="single" w:sz="4" w:space="0" w:color="auto"/>
            </w:tcBorders>
            <w:tcMar>
              <w:top w:w="0" w:type="dxa"/>
              <w:left w:w="100" w:type="dxa"/>
              <w:bottom w:w="0" w:type="dxa"/>
              <w:right w:w="100" w:type="dxa"/>
            </w:tcMar>
          </w:tcPr>
          <w:p w:rsidR="00F57904" w:rsidRDefault="00000000">
            <w:pPr>
              <w:ind w:firstLine="360"/>
              <w:jc w:val="both"/>
            </w:pPr>
            <w:r>
              <w:t>11</w:t>
            </w:r>
          </w:p>
        </w:tc>
        <w:tc>
          <w:tcPr>
            <w:tcW w:w="1514" w:type="dxa"/>
            <w:tcBorders>
              <w:bottom w:val="single" w:sz="4" w:space="0" w:color="auto"/>
            </w:tcBorders>
            <w:tcMar>
              <w:top w:w="0" w:type="dxa"/>
              <w:left w:w="100" w:type="dxa"/>
              <w:bottom w:w="0" w:type="dxa"/>
              <w:right w:w="100" w:type="dxa"/>
            </w:tcMar>
          </w:tcPr>
          <w:p w:rsidR="00F57904" w:rsidRDefault="00000000">
            <w:pPr>
              <w:ind w:firstLine="360"/>
              <w:jc w:val="both"/>
            </w:pPr>
            <w:r>
              <w:t>13,8</w:t>
            </w:r>
          </w:p>
        </w:tc>
        <w:tc>
          <w:tcPr>
            <w:tcW w:w="50" w:type="dxa"/>
            <w:tcBorders>
              <w:bottom w:val="single" w:sz="4" w:space="0" w:color="auto"/>
            </w:tcBorders>
            <w:vAlign w:val="center"/>
          </w:tcPr>
          <w:p w:rsidR="00F57904" w:rsidRDefault="00F57904">
            <w:pPr>
              <w:ind w:firstLine="360"/>
              <w:jc w:val="both"/>
            </w:pPr>
          </w:p>
        </w:tc>
      </w:tr>
      <w:tr w:rsidR="00F57904" w:rsidTr="00D437E7">
        <w:trPr>
          <w:trHeight w:val="345"/>
        </w:trPr>
        <w:tc>
          <w:tcPr>
            <w:tcW w:w="2368" w:type="dxa"/>
            <w:tcBorders>
              <w:top w:val="single" w:sz="4" w:space="0" w:color="auto"/>
            </w:tcBorders>
            <w:tcMar>
              <w:top w:w="0" w:type="dxa"/>
              <w:left w:w="100" w:type="dxa"/>
              <w:bottom w:w="0" w:type="dxa"/>
              <w:right w:w="100" w:type="dxa"/>
            </w:tcMar>
          </w:tcPr>
          <w:p w:rsidR="00F57904" w:rsidRDefault="00000000">
            <w:pPr>
              <w:jc w:val="both"/>
            </w:pPr>
            <w:r>
              <w:rPr>
                <w:b/>
              </w:rPr>
              <w:t>Paritas</w:t>
            </w:r>
          </w:p>
        </w:tc>
        <w:tc>
          <w:tcPr>
            <w:tcW w:w="851"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1514"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50" w:type="dxa"/>
            <w:tcBorders>
              <w:top w:val="single" w:sz="4" w:space="0" w:color="auto"/>
            </w:tcBorders>
            <w:vAlign w:val="center"/>
          </w:tcPr>
          <w:p w:rsidR="00F57904" w:rsidRDefault="00F57904">
            <w:pPr>
              <w:ind w:firstLine="360"/>
              <w:jc w:val="both"/>
            </w:pPr>
          </w:p>
        </w:tc>
      </w:tr>
      <w:tr w:rsidR="00F57904" w:rsidTr="00D437E7">
        <w:trPr>
          <w:trHeight w:val="345"/>
        </w:trPr>
        <w:tc>
          <w:tcPr>
            <w:tcW w:w="2368" w:type="dxa"/>
            <w:tcMar>
              <w:top w:w="0" w:type="dxa"/>
              <w:left w:w="100" w:type="dxa"/>
              <w:bottom w:w="0" w:type="dxa"/>
              <w:right w:w="100" w:type="dxa"/>
            </w:tcMar>
          </w:tcPr>
          <w:p w:rsidR="00F57904" w:rsidRDefault="00000000">
            <w:pPr>
              <w:jc w:val="both"/>
            </w:pPr>
            <w:r>
              <w:t>Primipara</w:t>
            </w:r>
          </w:p>
        </w:tc>
        <w:tc>
          <w:tcPr>
            <w:tcW w:w="851" w:type="dxa"/>
            <w:tcMar>
              <w:top w:w="0" w:type="dxa"/>
              <w:left w:w="100" w:type="dxa"/>
              <w:bottom w:w="0" w:type="dxa"/>
              <w:right w:w="100" w:type="dxa"/>
            </w:tcMar>
          </w:tcPr>
          <w:p w:rsidR="00F57904" w:rsidRDefault="00000000">
            <w:pPr>
              <w:ind w:firstLine="360"/>
              <w:jc w:val="both"/>
            </w:pPr>
            <w:r>
              <w:t>22</w:t>
            </w:r>
          </w:p>
        </w:tc>
        <w:tc>
          <w:tcPr>
            <w:tcW w:w="1514" w:type="dxa"/>
            <w:tcMar>
              <w:top w:w="0" w:type="dxa"/>
              <w:left w:w="100" w:type="dxa"/>
              <w:bottom w:w="0" w:type="dxa"/>
              <w:right w:w="100" w:type="dxa"/>
            </w:tcMar>
          </w:tcPr>
          <w:p w:rsidR="00F57904" w:rsidRDefault="00000000">
            <w:pPr>
              <w:ind w:firstLine="360"/>
              <w:jc w:val="both"/>
            </w:pPr>
            <w:r>
              <w:t>27,5</w:t>
            </w:r>
          </w:p>
        </w:tc>
        <w:tc>
          <w:tcPr>
            <w:tcW w:w="50" w:type="dxa"/>
            <w:vAlign w:val="center"/>
          </w:tcPr>
          <w:p w:rsidR="00F57904" w:rsidRDefault="00F57904">
            <w:pPr>
              <w:ind w:firstLine="360"/>
              <w:jc w:val="both"/>
            </w:pPr>
          </w:p>
        </w:tc>
      </w:tr>
      <w:tr w:rsidR="00F57904" w:rsidTr="00D437E7">
        <w:trPr>
          <w:trHeight w:val="345"/>
        </w:trPr>
        <w:tc>
          <w:tcPr>
            <w:tcW w:w="2368" w:type="dxa"/>
            <w:tcBorders>
              <w:bottom w:val="single" w:sz="4" w:space="0" w:color="auto"/>
            </w:tcBorders>
            <w:tcMar>
              <w:top w:w="0" w:type="dxa"/>
              <w:left w:w="100" w:type="dxa"/>
              <w:bottom w:w="0" w:type="dxa"/>
              <w:right w:w="100" w:type="dxa"/>
            </w:tcMar>
          </w:tcPr>
          <w:p w:rsidR="00F57904" w:rsidRDefault="00000000">
            <w:pPr>
              <w:jc w:val="both"/>
            </w:pPr>
            <w:r>
              <w:t>Multipara</w:t>
            </w:r>
          </w:p>
        </w:tc>
        <w:tc>
          <w:tcPr>
            <w:tcW w:w="851" w:type="dxa"/>
            <w:tcBorders>
              <w:bottom w:val="single" w:sz="4" w:space="0" w:color="auto"/>
            </w:tcBorders>
            <w:tcMar>
              <w:top w:w="0" w:type="dxa"/>
              <w:left w:w="100" w:type="dxa"/>
              <w:bottom w:w="0" w:type="dxa"/>
              <w:right w:w="100" w:type="dxa"/>
            </w:tcMar>
          </w:tcPr>
          <w:p w:rsidR="00F57904" w:rsidRDefault="00000000">
            <w:pPr>
              <w:ind w:firstLine="360"/>
              <w:jc w:val="both"/>
            </w:pPr>
            <w:r>
              <w:t>58</w:t>
            </w:r>
          </w:p>
        </w:tc>
        <w:tc>
          <w:tcPr>
            <w:tcW w:w="1514" w:type="dxa"/>
            <w:tcBorders>
              <w:bottom w:val="single" w:sz="4" w:space="0" w:color="auto"/>
            </w:tcBorders>
            <w:tcMar>
              <w:top w:w="0" w:type="dxa"/>
              <w:left w:w="100" w:type="dxa"/>
              <w:bottom w:w="0" w:type="dxa"/>
              <w:right w:w="100" w:type="dxa"/>
            </w:tcMar>
          </w:tcPr>
          <w:p w:rsidR="00F57904" w:rsidRDefault="00000000">
            <w:pPr>
              <w:ind w:firstLine="360"/>
              <w:jc w:val="both"/>
            </w:pPr>
            <w:r>
              <w:t>72,5</w:t>
            </w:r>
          </w:p>
        </w:tc>
        <w:tc>
          <w:tcPr>
            <w:tcW w:w="50" w:type="dxa"/>
            <w:vAlign w:val="center"/>
          </w:tcPr>
          <w:p w:rsidR="00F57904" w:rsidRDefault="00F57904">
            <w:pPr>
              <w:ind w:firstLine="360"/>
              <w:jc w:val="both"/>
            </w:pPr>
          </w:p>
        </w:tc>
      </w:tr>
      <w:tr w:rsidR="00F57904" w:rsidTr="00D437E7">
        <w:trPr>
          <w:trHeight w:val="292"/>
        </w:trPr>
        <w:tc>
          <w:tcPr>
            <w:tcW w:w="2368" w:type="dxa"/>
            <w:tcBorders>
              <w:top w:val="single" w:sz="4" w:space="0" w:color="auto"/>
            </w:tcBorders>
            <w:tcMar>
              <w:top w:w="0" w:type="dxa"/>
              <w:left w:w="100" w:type="dxa"/>
              <w:bottom w:w="0" w:type="dxa"/>
              <w:right w:w="100" w:type="dxa"/>
            </w:tcMar>
          </w:tcPr>
          <w:p w:rsidR="00F57904" w:rsidRDefault="00000000">
            <w:pPr>
              <w:jc w:val="both"/>
            </w:pPr>
            <w:r>
              <w:rPr>
                <w:b/>
              </w:rPr>
              <w:t>Suku Budaya</w:t>
            </w:r>
          </w:p>
        </w:tc>
        <w:tc>
          <w:tcPr>
            <w:tcW w:w="851"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1514" w:type="dxa"/>
            <w:tcBorders>
              <w:top w:val="single" w:sz="4" w:space="0" w:color="auto"/>
            </w:tcBorders>
            <w:tcMar>
              <w:top w:w="0" w:type="dxa"/>
              <w:left w:w="100" w:type="dxa"/>
              <w:bottom w:w="0" w:type="dxa"/>
              <w:right w:w="100" w:type="dxa"/>
            </w:tcMar>
          </w:tcPr>
          <w:p w:rsidR="00F57904" w:rsidRDefault="00000000">
            <w:pPr>
              <w:ind w:firstLine="360"/>
              <w:jc w:val="both"/>
            </w:pPr>
            <w:r>
              <w:t> </w:t>
            </w:r>
          </w:p>
        </w:tc>
        <w:tc>
          <w:tcPr>
            <w:tcW w:w="50" w:type="dxa"/>
            <w:vAlign w:val="center"/>
          </w:tcPr>
          <w:p w:rsidR="00F57904" w:rsidRDefault="00F57904">
            <w:pPr>
              <w:ind w:firstLine="360"/>
              <w:jc w:val="both"/>
            </w:pPr>
          </w:p>
        </w:tc>
      </w:tr>
      <w:tr w:rsidR="00F57904">
        <w:trPr>
          <w:trHeight w:val="198"/>
        </w:trPr>
        <w:tc>
          <w:tcPr>
            <w:tcW w:w="2368" w:type="dxa"/>
            <w:tcMar>
              <w:top w:w="0" w:type="dxa"/>
              <w:left w:w="100" w:type="dxa"/>
              <w:bottom w:w="0" w:type="dxa"/>
              <w:right w:w="100" w:type="dxa"/>
            </w:tcMar>
          </w:tcPr>
          <w:p w:rsidR="00F57904" w:rsidRDefault="00000000">
            <w:pPr>
              <w:jc w:val="both"/>
            </w:pPr>
            <w:r>
              <w:t>Bugis</w:t>
            </w:r>
          </w:p>
        </w:tc>
        <w:tc>
          <w:tcPr>
            <w:tcW w:w="851" w:type="dxa"/>
            <w:tcMar>
              <w:top w:w="0" w:type="dxa"/>
              <w:left w:w="100" w:type="dxa"/>
              <w:bottom w:w="0" w:type="dxa"/>
              <w:right w:w="100" w:type="dxa"/>
            </w:tcMar>
          </w:tcPr>
          <w:p w:rsidR="00F57904" w:rsidRDefault="00000000">
            <w:pPr>
              <w:ind w:firstLine="360"/>
              <w:jc w:val="both"/>
            </w:pPr>
            <w:r>
              <w:t>16</w:t>
            </w:r>
          </w:p>
        </w:tc>
        <w:tc>
          <w:tcPr>
            <w:tcW w:w="1514" w:type="dxa"/>
            <w:tcMar>
              <w:top w:w="0" w:type="dxa"/>
              <w:left w:w="100" w:type="dxa"/>
              <w:bottom w:w="0" w:type="dxa"/>
              <w:right w:w="100" w:type="dxa"/>
            </w:tcMar>
          </w:tcPr>
          <w:p w:rsidR="00F57904" w:rsidRDefault="00000000">
            <w:pPr>
              <w:ind w:firstLine="360"/>
              <w:jc w:val="both"/>
            </w:pPr>
            <w:r>
              <w:t>20,0</w:t>
            </w:r>
          </w:p>
        </w:tc>
        <w:tc>
          <w:tcPr>
            <w:tcW w:w="50" w:type="dxa"/>
            <w:vAlign w:val="center"/>
          </w:tcPr>
          <w:p w:rsidR="00F57904" w:rsidRDefault="00F57904">
            <w:pPr>
              <w:ind w:firstLine="360"/>
              <w:jc w:val="both"/>
            </w:pPr>
          </w:p>
        </w:tc>
      </w:tr>
      <w:tr w:rsidR="00F57904">
        <w:trPr>
          <w:trHeight w:val="174"/>
        </w:trPr>
        <w:tc>
          <w:tcPr>
            <w:tcW w:w="2368" w:type="dxa"/>
            <w:tcMar>
              <w:top w:w="0" w:type="dxa"/>
              <w:left w:w="100" w:type="dxa"/>
              <w:bottom w:w="0" w:type="dxa"/>
              <w:right w:w="100" w:type="dxa"/>
            </w:tcMar>
          </w:tcPr>
          <w:p w:rsidR="00F57904" w:rsidRDefault="00000000">
            <w:pPr>
              <w:jc w:val="both"/>
            </w:pPr>
            <w:r>
              <w:t>Makassar</w:t>
            </w:r>
          </w:p>
        </w:tc>
        <w:tc>
          <w:tcPr>
            <w:tcW w:w="851" w:type="dxa"/>
            <w:tcMar>
              <w:top w:w="0" w:type="dxa"/>
              <w:left w:w="100" w:type="dxa"/>
              <w:bottom w:w="0" w:type="dxa"/>
              <w:right w:w="100" w:type="dxa"/>
            </w:tcMar>
          </w:tcPr>
          <w:p w:rsidR="00F57904" w:rsidRDefault="00000000">
            <w:pPr>
              <w:ind w:firstLine="360"/>
              <w:jc w:val="both"/>
            </w:pPr>
            <w:r>
              <w:t>60</w:t>
            </w:r>
          </w:p>
        </w:tc>
        <w:tc>
          <w:tcPr>
            <w:tcW w:w="1514" w:type="dxa"/>
            <w:tcMar>
              <w:top w:w="0" w:type="dxa"/>
              <w:left w:w="100" w:type="dxa"/>
              <w:bottom w:w="0" w:type="dxa"/>
              <w:right w:w="100" w:type="dxa"/>
            </w:tcMar>
          </w:tcPr>
          <w:p w:rsidR="00F57904" w:rsidRDefault="00000000">
            <w:pPr>
              <w:ind w:firstLine="360"/>
              <w:jc w:val="both"/>
            </w:pPr>
            <w:r>
              <w:t>75,0</w:t>
            </w:r>
          </w:p>
        </w:tc>
        <w:tc>
          <w:tcPr>
            <w:tcW w:w="50" w:type="dxa"/>
            <w:vAlign w:val="center"/>
          </w:tcPr>
          <w:p w:rsidR="00F57904" w:rsidRDefault="00F57904">
            <w:pPr>
              <w:ind w:firstLine="360"/>
              <w:jc w:val="both"/>
            </w:pPr>
          </w:p>
        </w:tc>
      </w:tr>
      <w:tr w:rsidR="00F57904" w:rsidTr="00D437E7">
        <w:trPr>
          <w:trHeight w:val="345"/>
        </w:trPr>
        <w:tc>
          <w:tcPr>
            <w:tcW w:w="2368" w:type="dxa"/>
            <w:tcBorders>
              <w:bottom w:val="single" w:sz="4" w:space="0" w:color="auto"/>
            </w:tcBorders>
            <w:tcMar>
              <w:top w:w="0" w:type="dxa"/>
              <w:left w:w="100" w:type="dxa"/>
              <w:bottom w:w="0" w:type="dxa"/>
              <w:right w:w="100" w:type="dxa"/>
            </w:tcMar>
          </w:tcPr>
          <w:p w:rsidR="00F57904" w:rsidRDefault="00000000">
            <w:pPr>
              <w:jc w:val="both"/>
            </w:pPr>
            <w:r>
              <w:t>Toraja</w:t>
            </w:r>
          </w:p>
        </w:tc>
        <w:tc>
          <w:tcPr>
            <w:tcW w:w="851" w:type="dxa"/>
            <w:tcBorders>
              <w:bottom w:val="single" w:sz="4" w:space="0" w:color="auto"/>
            </w:tcBorders>
            <w:tcMar>
              <w:top w:w="0" w:type="dxa"/>
              <w:left w:w="100" w:type="dxa"/>
              <w:bottom w:w="0" w:type="dxa"/>
              <w:right w:w="100" w:type="dxa"/>
            </w:tcMar>
          </w:tcPr>
          <w:p w:rsidR="00F57904" w:rsidRDefault="00000000">
            <w:pPr>
              <w:ind w:firstLine="360"/>
              <w:jc w:val="both"/>
            </w:pPr>
            <w:r>
              <w:t>4</w:t>
            </w:r>
          </w:p>
        </w:tc>
        <w:tc>
          <w:tcPr>
            <w:tcW w:w="1514" w:type="dxa"/>
            <w:tcBorders>
              <w:bottom w:val="single" w:sz="4" w:space="0" w:color="auto"/>
            </w:tcBorders>
            <w:tcMar>
              <w:top w:w="0" w:type="dxa"/>
              <w:left w:w="100" w:type="dxa"/>
              <w:bottom w:w="0" w:type="dxa"/>
              <w:right w:w="100" w:type="dxa"/>
            </w:tcMar>
          </w:tcPr>
          <w:p w:rsidR="00F57904" w:rsidRDefault="00000000">
            <w:pPr>
              <w:ind w:firstLine="360"/>
              <w:jc w:val="both"/>
            </w:pPr>
            <w:r>
              <w:t>5,0</w:t>
            </w:r>
          </w:p>
        </w:tc>
        <w:tc>
          <w:tcPr>
            <w:tcW w:w="50" w:type="dxa"/>
            <w:tcBorders>
              <w:bottom w:val="single" w:sz="4" w:space="0" w:color="auto"/>
            </w:tcBorders>
            <w:vAlign w:val="center"/>
          </w:tcPr>
          <w:p w:rsidR="00F57904" w:rsidRDefault="00F57904">
            <w:pPr>
              <w:ind w:firstLine="360"/>
              <w:jc w:val="both"/>
            </w:pPr>
          </w:p>
        </w:tc>
      </w:tr>
      <w:tr w:rsidR="00F57904" w:rsidTr="00D437E7">
        <w:trPr>
          <w:trHeight w:val="214"/>
        </w:trPr>
        <w:tc>
          <w:tcPr>
            <w:tcW w:w="2368" w:type="dxa"/>
            <w:tcBorders>
              <w:top w:val="single" w:sz="4" w:space="0" w:color="auto"/>
            </w:tcBorders>
            <w:tcMar>
              <w:top w:w="0" w:type="dxa"/>
              <w:left w:w="100" w:type="dxa"/>
              <w:bottom w:w="0" w:type="dxa"/>
              <w:right w:w="100" w:type="dxa"/>
            </w:tcMar>
          </w:tcPr>
          <w:p w:rsidR="00F57904" w:rsidRDefault="00000000">
            <w:pPr>
              <w:jc w:val="both"/>
            </w:pPr>
            <w:r>
              <w:rPr>
                <w:b/>
              </w:rPr>
              <w:t>Tingkat Anemia</w:t>
            </w:r>
          </w:p>
        </w:tc>
        <w:tc>
          <w:tcPr>
            <w:tcW w:w="851" w:type="dxa"/>
            <w:tcBorders>
              <w:top w:val="single" w:sz="4" w:space="0" w:color="auto"/>
            </w:tcBorders>
            <w:tcMar>
              <w:top w:w="0" w:type="dxa"/>
              <w:left w:w="100" w:type="dxa"/>
              <w:bottom w:w="0" w:type="dxa"/>
              <w:right w:w="100" w:type="dxa"/>
            </w:tcMar>
          </w:tcPr>
          <w:p w:rsidR="00F57904" w:rsidRDefault="00000000">
            <w:pPr>
              <w:ind w:firstLine="360"/>
              <w:jc w:val="both"/>
            </w:pPr>
            <w:r>
              <w:t>12</w:t>
            </w:r>
          </w:p>
        </w:tc>
        <w:tc>
          <w:tcPr>
            <w:tcW w:w="1514" w:type="dxa"/>
            <w:tcBorders>
              <w:top w:val="single" w:sz="4" w:space="0" w:color="auto"/>
            </w:tcBorders>
            <w:tcMar>
              <w:top w:w="0" w:type="dxa"/>
              <w:left w:w="100" w:type="dxa"/>
              <w:bottom w:w="0" w:type="dxa"/>
              <w:right w:w="100" w:type="dxa"/>
            </w:tcMar>
          </w:tcPr>
          <w:p w:rsidR="00F57904" w:rsidRDefault="00000000">
            <w:pPr>
              <w:ind w:firstLine="360"/>
              <w:jc w:val="both"/>
            </w:pPr>
            <w:r>
              <w:t>52,2</w:t>
            </w:r>
          </w:p>
        </w:tc>
        <w:tc>
          <w:tcPr>
            <w:tcW w:w="50" w:type="dxa"/>
            <w:tcBorders>
              <w:top w:val="single" w:sz="4" w:space="0" w:color="auto"/>
            </w:tcBorders>
            <w:vAlign w:val="center"/>
          </w:tcPr>
          <w:p w:rsidR="00F57904" w:rsidRDefault="00F57904">
            <w:pPr>
              <w:ind w:firstLine="360"/>
              <w:jc w:val="both"/>
            </w:pPr>
          </w:p>
        </w:tc>
      </w:tr>
      <w:tr w:rsidR="00F57904">
        <w:trPr>
          <w:trHeight w:val="120"/>
        </w:trPr>
        <w:tc>
          <w:tcPr>
            <w:tcW w:w="2368" w:type="dxa"/>
            <w:tcMar>
              <w:top w:w="0" w:type="dxa"/>
              <w:left w:w="100" w:type="dxa"/>
              <w:bottom w:w="0" w:type="dxa"/>
              <w:right w:w="100" w:type="dxa"/>
            </w:tcMar>
          </w:tcPr>
          <w:p w:rsidR="00F57904" w:rsidRDefault="00000000">
            <w:pPr>
              <w:jc w:val="both"/>
            </w:pPr>
            <w:r>
              <w:t>Sedang</w:t>
            </w:r>
          </w:p>
        </w:tc>
        <w:tc>
          <w:tcPr>
            <w:tcW w:w="851" w:type="dxa"/>
            <w:tcMar>
              <w:top w:w="0" w:type="dxa"/>
              <w:left w:w="100" w:type="dxa"/>
              <w:bottom w:w="0" w:type="dxa"/>
              <w:right w:w="100" w:type="dxa"/>
            </w:tcMar>
          </w:tcPr>
          <w:p w:rsidR="00F57904" w:rsidRDefault="00000000">
            <w:pPr>
              <w:ind w:firstLine="360"/>
              <w:jc w:val="both"/>
            </w:pPr>
            <w:r>
              <w:t>19</w:t>
            </w:r>
          </w:p>
        </w:tc>
        <w:tc>
          <w:tcPr>
            <w:tcW w:w="1514" w:type="dxa"/>
            <w:tcMar>
              <w:top w:w="0" w:type="dxa"/>
              <w:left w:w="100" w:type="dxa"/>
              <w:bottom w:w="0" w:type="dxa"/>
              <w:right w:w="100" w:type="dxa"/>
            </w:tcMar>
          </w:tcPr>
          <w:p w:rsidR="00F57904" w:rsidRDefault="00000000">
            <w:pPr>
              <w:ind w:firstLine="360"/>
              <w:jc w:val="both"/>
            </w:pPr>
            <w:r>
              <w:t>23,8</w:t>
            </w:r>
          </w:p>
        </w:tc>
        <w:tc>
          <w:tcPr>
            <w:tcW w:w="50" w:type="dxa"/>
            <w:vAlign w:val="center"/>
          </w:tcPr>
          <w:p w:rsidR="00F57904" w:rsidRDefault="00F57904">
            <w:pPr>
              <w:ind w:firstLine="360"/>
              <w:jc w:val="both"/>
            </w:pPr>
          </w:p>
        </w:tc>
      </w:tr>
      <w:tr w:rsidR="00F57904">
        <w:trPr>
          <w:trHeight w:val="238"/>
        </w:trPr>
        <w:tc>
          <w:tcPr>
            <w:tcW w:w="2368" w:type="dxa"/>
            <w:tcMar>
              <w:top w:w="0" w:type="dxa"/>
              <w:left w:w="100" w:type="dxa"/>
              <w:bottom w:w="0" w:type="dxa"/>
              <w:right w:w="100" w:type="dxa"/>
            </w:tcMar>
          </w:tcPr>
          <w:p w:rsidR="00F57904" w:rsidRDefault="00000000">
            <w:pPr>
              <w:jc w:val="both"/>
            </w:pPr>
            <w:r>
              <w:t>Ringan</w:t>
            </w:r>
          </w:p>
        </w:tc>
        <w:tc>
          <w:tcPr>
            <w:tcW w:w="851" w:type="dxa"/>
            <w:tcMar>
              <w:top w:w="0" w:type="dxa"/>
              <w:left w:w="100" w:type="dxa"/>
              <w:bottom w:w="0" w:type="dxa"/>
              <w:right w:w="100" w:type="dxa"/>
            </w:tcMar>
          </w:tcPr>
          <w:p w:rsidR="00F57904" w:rsidRDefault="00000000">
            <w:pPr>
              <w:ind w:firstLine="360"/>
              <w:jc w:val="both"/>
            </w:pPr>
            <w:r>
              <w:t>32</w:t>
            </w:r>
          </w:p>
        </w:tc>
        <w:tc>
          <w:tcPr>
            <w:tcW w:w="1514" w:type="dxa"/>
            <w:tcMar>
              <w:top w:w="0" w:type="dxa"/>
              <w:left w:w="100" w:type="dxa"/>
              <w:bottom w:w="0" w:type="dxa"/>
              <w:right w:w="100" w:type="dxa"/>
            </w:tcMar>
          </w:tcPr>
          <w:p w:rsidR="00F57904" w:rsidRDefault="00000000">
            <w:pPr>
              <w:ind w:firstLine="360"/>
              <w:jc w:val="both"/>
            </w:pPr>
            <w:r>
              <w:t>40,0</w:t>
            </w:r>
          </w:p>
        </w:tc>
        <w:tc>
          <w:tcPr>
            <w:tcW w:w="50" w:type="dxa"/>
            <w:vAlign w:val="center"/>
          </w:tcPr>
          <w:p w:rsidR="00F57904" w:rsidRDefault="00F57904">
            <w:pPr>
              <w:ind w:firstLine="360"/>
              <w:jc w:val="both"/>
            </w:pPr>
          </w:p>
        </w:tc>
      </w:tr>
      <w:tr w:rsidR="00F57904">
        <w:trPr>
          <w:trHeight w:val="345"/>
        </w:trPr>
        <w:tc>
          <w:tcPr>
            <w:tcW w:w="2368" w:type="dxa"/>
            <w:tcBorders>
              <w:bottom w:val="single" w:sz="8" w:space="0" w:color="000000"/>
            </w:tcBorders>
            <w:tcMar>
              <w:top w:w="0" w:type="dxa"/>
              <w:left w:w="100" w:type="dxa"/>
              <w:bottom w:w="0" w:type="dxa"/>
              <w:right w:w="100" w:type="dxa"/>
            </w:tcMar>
          </w:tcPr>
          <w:p w:rsidR="00F57904" w:rsidRDefault="00000000">
            <w:pPr>
              <w:jc w:val="both"/>
            </w:pPr>
            <w:r>
              <w:t>Normal</w:t>
            </w:r>
          </w:p>
        </w:tc>
        <w:tc>
          <w:tcPr>
            <w:tcW w:w="851" w:type="dxa"/>
            <w:tcBorders>
              <w:bottom w:val="single" w:sz="8" w:space="0" w:color="000000"/>
            </w:tcBorders>
            <w:tcMar>
              <w:top w:w="0" w:type="dxa"/>
              <w:left w:w="100" w:type="dxa"/>
              <w:bottom w:w="0" w:type="dxa"/>
              <w:right w:w="100" w:type="dxa"/>
            </w:tcMar>
          </w:tcPr>
          <w:p w:rsidR="00F57904" w:rsidRDefault="00000000">
            <w:pPr>
              <w:ind w:firstLine="360"/>
              <w:jc w:val="both"/>
            </w:pPr>
            <w:r>
              <w:t>29</w:t>
            </w:r>
          </w:p>
        </w:tc>
        <w:tc>
          <w:tcPr>
            <w:tcW w:w="1514" w:type="dxa"/>
            <w:tcBorders>
              <w:bottom w:val="single" w:sz="8" w:space="0" w:color="000000"/>
            </w:tcBorders>
            <w:tcMar>
              <w:top w:w="0" w:type="dxa"/>
              <w:left w:w="100" w:type="dxa"/>
              <w:bottom w:w="0" w:type="dxa"/>
              <w:right w:w="100" w:type="dxa"/>
            </w:tcMar>
          </w:tcPr>
          <w:p w:rsidR="00F57904" w:rsidRDefault="00000000">
            <w:pPr>
              <w:ind w:firstLine="360"/>
              <w:jc w:val="both"/>
            </w:pPr>
            <w:r>
              <w:t>36,3</w:t>
            </w:r>
          </w:p>
        </w:tc>
        <w:tc>
          <w:tcPr>
            <w:tcW w:w="50" w:type="dxa"/>
            <w:vAlign w:val="center"/>
          </w:tcPr>
          <w:p w:rsidR="00F57904" w:rsidRDefault="00F57904">
            <w:pPr>
              <w:ind w:firstLine="360"/>
              <w:jc w:val="both"/>
            </w:pPr>
          </w:p>
        </w:tc>
      </w:tr>
      <w:tr w:rsidR="00F57904">
        <w:trPr>
          <w:trHeight w:val="345"/>
        </w:trPr>
        <w:tc>
          <w:tcPr>
            <w:tcW w:w="2368" w:type="dxa"/>
            <w:tcBorders>
              <w:top w:val="single" w:sz="8" w:space="0" w:color="000000"/>
              <w:bottom w:val="single" w:sz="6" w:space="0" w:color="000000"/>
            </w:tcBorders>
            <w:tcMar>
              <w:top w:w="0" w:type="dxa"/>
              <w:left w:w="100" w:type="dxa"/>
              <w:bottom w:w="0" w:type="dxa"/>
              <w:right w:w="100" w:type="dxa"/>
            </w:tcMar>
          </w:tcPr>
          <w:p w:rsidR="00F57904" w:rsidRDefault="00000000">
            <w:pPr>
              <w:ind w:firstLine="360"/>
              <w:jc w:val="both"/>
            </w:pPr>
            <w:r>
              <w:rPr>
                <w:b/>
              </w:rPr>
              <w:t>Total</w:t>
            </w:r>
          </w:p>
        </w:tc>
        <w:tc>
          <w:tcPr>
            <w:tcW w:w="851" w:type="dxa"/>
            <w:tcBorders>
              <w:top w:val="single" w:sz="8" w:space="0" w:color="000000"/>
              <w:bottom w:val="single" w:sz="6" w:space="0" w:color="000000"/>
            </w:tcBorders>
            <w:tcMar>
              <w:top w:w="0" w:type="dxa"/>
              <w:left w:w="100" w:type="dxa"/>
              <w:bottom w:w="0" w:type="dxa"/>
              <w:right w:w="100" w:type="dxa"/>
            </w:tcMar>
          </w:tcPr>
          <w:p w:rsidR="00F57904" w:rsidRDefault="00000000">
            <w:pPr>
              <w:ind w:firstLine="360"/>
              <w:jc w:val="both"/>
            </w:pPr>
            <w:r>
              <w:t>80</w:t>
            </w:r>
          </w:p>
        </w:tc>
        <w:tc>
          <w:tcPr>
            <w:tcW w:w="1514" w:type="dxa"/>
            <w:tcBorders>
              <w:top w:val="single" w:sz="8" w:space="0" w:color="000000"/>
              <w:bottom w:val="single" w:sz="6" w:space="0" w:color="000000"/>
            </w:tcBorders>
            <w:tcMar>
              <w:top w:w="0" w:type="dxa"/>
              <w:left w:w="100" w:type="dxa"/>
              <w:bottom w:w="0" w:type="dxa"/>
              <w:right w:w="100" w:type="dxa"/>
            </w:tcMar>
          </w:tcPr>
          <w:p w:rsidR="00F57904" w:rsidRDefault="00000000">
            <w:pPr>
              <w:ind w:firstLine="360"/>
              <w:jc w:val="both"/>
            </w:pPr>
            <w:r>
              <w:t>100</w:t>
            </w:r>
          </w:p>
        </w:tc>
        <w:tc>
          <w:tcPr>
            <w:tcW w:w="50" w:type="dxa"/>
            <w:vAlign w:val="center"/>
          </w:tcPr>
          <w:p w:rsidR="00F57904" w:rsidRDefault="00F57904">
            <w:pPr>
              <w:ind w:firstLine="360"/>
              <w:jc w:val="both"/>
            </w:pPr>
          </w:p>
        </w:tc>
      </w:tr>
    </w:tbl>
    <w:p w:rsidR="00F57904" w:rsidRDefault="00000000">
      <w:pPr>
        <w:spacing w:after="240"/>
        <w:jc w:val="both"/>
      </w:pPr>
      <w:r>
        <w:rPr>
          <w:i/>
        </w:rPr>
        <w:t>Sumber, data sekunder 2024</w:t>
      </w:r>
    </w:p>
    <w:p w:rsidR="00F57904" w:rsidRDefault="00000000">
      <w:pPr>
        <w:jc w:val="both"/>
      </w:pPr>
      <w:r>
        <w:t>PEMBAHASAN.</w:t>
      </w:r>
    </w:p>
    <w:p w:rsidR="00F57904" w:rsidRDefault="00000000">
      <w:pPr>
        <w:ind w:firstLine="284"/>
        <w:jc w:val="both"/>
      </w:pPr>
      <w:r>
        <w:t xml:space="preserve">Berdasarkan tabel distribusi frekuensi, dapat diketahui bahwa sebagian besar penderita anemia dalam kehamilan di Puskesmas Somba Opu berada pada kelompok usia 20–25 tahun (32,5%), diikuti oleh kelompok usia 26–30 tahun (25,0%) dan 31–36 tahun (23,8%). Sebagian besar responden </w:t>
      </w:r>
      <w:r>
        <w:lastRenderedPageBreak/>
        <w:t>bekerja sebagai ibu rumah tangga (30,4%), diikuti pegawai negeri sipil (17,4%) dan pedagang (13,0%). Mayoritas tingkat pendidikan terakhir adalah SMA (68,8%), sedangkan pendidikan perguruan tinggi hanya sebesar 15,0%.</w:t>
      </w:r>
    </w:p>
    <w:p w:rsidR="00F57904" w:rsidRDefault="00000000">
      <w:pPr>
        <w:ind w:firstLine="284"/>
        <w:jc w:val="both"/>
      </w:pPr>
      <w:r>
        <w:t>Berdasarkan usia kehamilan, sebagian besar responden berada pada trimester III (85,0%). Dari segi paritas, proporsi terbanyak adalah multipara (72,5%) dibandingkan primipara (27,5%). Dilihat dari latar belakang suku budaya, mayoritas berasal dari suku Makassar (75,0%), diikuti suku Bugis (20,0%) dan Toraja (5,0%).</w:t>
      </w:r>
    </w:p>
    <w:p w:rsidR="00F57904" w:rsidRDefault="00000000">
      <w:pPr>
        <w:ind w:firstLine="284"/>
        <w:jc w:val="both"/>
      </w:pPr>
      <w:r>
        <w:t>Terkait tingkat anemia, sebagian besar berada pada kategori ringan (36,3%), diikuti anemia sedang (23,8%) dan anemia berat (8,8%), sedangkan yang memiliki kadar hemoglobin normal sebesar 31,3%. Temuan ini menunjukkan bahwa anemia ringan menjadi bentuk anemia yang paling banyak dialami ibu hamil di wilayah kerja Puskesmas Somba Opu, dengan karakteristik dominan adalah usia muda, pendidikan SMA, tidak bekerja di sektor formal, kehamilan trimester akhir, serta memiliki pengalaman melahirkan sebelumnya.</w:t>
      </w:r>
    </w:p>
    <w:p w:rsidR="00F57904" w:rsidRDefault="00000000">
      <w:pPr>
        <w:jc w:val="both"/>
      </w:pPr>
      <w:r>
        <w:rPr>
          <w:b/>
        </w:rPr>
        <w:t>Gambaran Penderita Anemia dalam Kehamilan dengan Status Anemia Ibu Hamil</w:t>
      </w:r>
    </w:p>
    <w:p w:rsidR="00F57904" w:rsidRDefault="00000000">
      <w:pPr>
        <w:ind w:firstLine="426"/>
      </w:pPr>
      <w:r>
        <w:t>Penelitian ini dilakukan di wilayah kerja Puskesmas Somba Opu. Hasil penelitian didapatkan berdasarkan status anemia yakni terbanyak kejadian adalah pasien dengan penderita anemia ringan sebanyak 32 orang (40%) dan paling sedikit adalah anemia sedang sebanyak 19 orang (23,8%). </w:t>
      </w:r>
    </w:p>
    <w:p w:rsidR="00F57904" w:rsidRDefault="00000000">
      <w:pPr>
        <w:ind w:firstLine="426"/>
        <w:jc w:val="both"/>
      </w:pPr>
      <w:r>
        <w:t xml:space="preserve">Risiko anemia pada ibu hamil sangat dipengaruhi oleh asupan nutrisi mereka. Perubahan fisiologis ibu yang membutuhkan banyak nutrien harus diimbangi dengan asupan nutrisi yang cukup. Untuk mencegah anemia, ibu hamil disarankan untuk mengonsumsi makanan yang mengandung berbagai nutrisi, terutama yang mengandung besi, asam folat, dan vitamin B12, karena kekurangan zat besi </w:t>
      </w:r>
      <w:r>
        <w:t>dan kurangnya vitamin B12 juga sering terjadi pada mereka</w:t>
      </w:r>
      <w:r>
        <w:rPr>
          <w:vertAlign w:val="superscript"/>
        </w:rPr>
        <w:t>8</w:t>
      </w:r>
      <w:r>
        <w:t>.</w:t>
      </w:r>
    </w:p>
    <w:p w:rsidR="00F57904" w:rsidRDefault="00000000">
      <w:pPr>
        <w:ind w:firstLine="284"/>
        <w:jc w:val="both"/>
      </w:pPr>
      <w:r>
        <w:tab/>
        <w:t>Terdapat sejumlah kasus yang berpotensi memburuk karena rendahnya kepatuhan dalam mengonsumsi tablet zat besi dan minimnya pengetahuan mengenai gizi. Akibatnya, pemantauan status anemia sangat penting untuk mendeteksi secara dini komplikasi serius yang dapat mengancam kesehatan ibu dan janin, seperti perdarahan, kelahiran prematur, dan bayi dengan berat badan lahir rendah</w:t>
      </w:r>
      <w:r>
        <w:rPr>
          <w:vertAlign w:val="superscript"/>
        </w:rPr>
        <w:t>9</w:t>
      </w:r>
      <w:r>
        <w:t>.</w:t>
      </w:r>
    </w:p>
    <w:p w:rsidR="00F57904" w:rsidRDefault="00000000">
      <w:pPr>
        <w:jc w:val="both"/>
      </w:pPr>
      <w:r>
        <w:rPr>
          <w:b/>
        </w:rPr>
        <w:t>Gambaran Penderita Anemia dalam Kehamilan dengan Status AUsia Ibu Hamil</w:t>
      </w:r>
    </w:p>
    <w:p w:rsidR="00F57904" w:rsidRDefault="00000000">
      <w:pPr>
        <w:ind w:firstLine="284"/>
        <w:jc w:val="both"/>
      </w:pPr>
      <w:r>
        <w:t>Penelitian ini dilakukan di wilayah kerja Puskesmas Somba Opu. Hasil penelitian didapatkan berdasarkan usia yakni terbanyak pada kategori usia 26-31 tahun sebanyak 34 orang (42,5%) dan paling sedikit yakni pada kategori usia &gt; 38 tahun sebanyak 3 orang (3,8%). Angka tertinggi pada rentang usia 26-31 walau angka pada rentang usia &gt;38 tahun sedikit, mengingat efek dari anemia dalam kehamilan kita harus melakukan edukasi dan pencegahan pada Ibu hamil.</w:t>
      </w:r>
    </w:p>
    <w:p w:rsidR="00F57904" w:rsidRDefault="00000000">
      <w:pPr>
        <w:ind w:firstLine="426"/>
        <w:jc w:val="both"/>
      </w:pPr>
      <w:r>
        <w:t xml:space="preserve">Multifaktorial, seperti penyakit infeksi, genetik, atau kekurangan nutrisi, dapat menyebabkan anemia pada kehamilan remaja. Remaja rentan terhadap defisiensi nutrisi karena fase tumbuh kembang yang belum selesai yang membutuhkan banyak zat besi </w:t>
      </w:r>
      <w:r>
        <w:rPr>
          <w:vertAlign w:val="superscript"/>
        </w:rPr>
        <w:t>9</w:t>
      </w:r>
      <w:r>
        <w:t>.</w:t>
      </w:r>
    </w:p>
    <w:p w:rsidR="00F57904" w:rsidRDefault="00000000">
      <w:pPr>
        <w:ind w:firstLine="426"/>
        <w:jc w:val="both"/>
      </w:pPr>
      <w:r>
        <w:t xml:space="preserve">Makanan tambahan dan tablet tambah darah (TTD) digunakan untuk memberikan suplemen gizi kepada ibu hamil. Untuk remaja putri dan wanita usia subur atau WUS, TTD digunakan sebagai makanan tambahan (Permenkes 51 Tahun 2016, Pasal 1 Ayat 2). Dalam kasus di mana tubuh membutuhkan banyak zat gizi mikro dan asupan makanan tradisional tidak mencukupi, suplementasi sangat penting </w:t>
      </w:r>
      <w:r>
        <w:rPr>
          <w:vertAlign w:val="superscript"/>
        </w:rPr>
        <w:t>10</w:t>
      </w:r>
      <w:r>
        <w:t>. </w:t>
      </w:r>
    </w:p>
    <w:p w:rsidR="00F57904" w:rsidRDefault="00000000">
      <w:pPr>
        <w:ind w:firstLine="426"/>
        <w:jc w:val="both"/>
      </w:pPr>
      <w:r>
        <w:t xml:space="preserve">Berdasarkan Riskesdas 2018, remaja putri mengonsumsi TTD sesuai standar masih sangat rendah yaitu sebesar 1,4% dan ibu hamil yang mengonsumsi TTD sesuai standar sebesar 38,1% </w:t>
      </w:r>
      <w:r>
        <w:rPr>
          <w:vertAlign w:val="superscript"/>
        </w:rPr>
        <w:t>2</w:t>
      </w:r>
      <w:r>
        <w:t>.</w:t>
      </w:r>
    </w:p>
    <w:p w:rsidR="00F57904" w:rsidRDefault="00000000">
      <w:pPr>
        <w:jc w:val="both"/>
      </w:pPr>
      <w:r>
        <w:rPr>
          <w:b/>
        </w:rPr>
        <w:lastRenderedPageBreak/>
        <w:t>Gambaran Penderita Anemia dalam Kehamilan dengan Pendidikan Terakhir Ibu Hamil</w:t>
      </w:r>
    </w:p>
    <w:p w:rsidR="00F57904" w:rsidRDefault="00000000">
      <w:pPr>
        <w:ind w:firstLine="284"/>
        <w:jc w:val="both"/>
      </w:pPr>
      <w:r>
        <w:t xml:space="preserve">Penelitian ini dilakukan di wilayah kerja Puskesmas Somba Opu. Hasil penelitian didapatkan yang di Puskesmas Somba Opu Berdasarkan Pendidikan terakhir yang ditempuh yakni terbanyak pada pendidikan terakhir Sekolah Menengah Atas 55 orang (68,8%) dan paling sedikit dengan menempuh pendidikan terakhir yakni Sekolah  Dasar sebanyak 3 orang (3,8%). </w:t>
      </w:r>
    </w:p>
    <w:p w:rsidR="00F57904" w:rsidRDefault="00000000">
      <w:pPr>
        <w:ind w:firstLine="284"/>
        <w:jc w:val="both"/>
      </w:pPr>
      <w:r>
        <w:t>Meskipun kasus anemia lebih banyak ditemukan pada Ibu hamil dengan tingkat pendidikan rendah, pendidikan formal itu sendiri belum tentu menjadi faktor penentu utama. Hal ini kemungkinan disebabkan karena pengaruh pendidikan terhadap anemia dipengaruhi oleh faktor lain seperti pengetahuan gizi, kepatuhan dalam mengonsumsi tablet zat besi, serta kondisi gizi ibu secara keseluruhan..Pendidikan formal turut membentuk tingkat pemahaman ibu mengenai gizi, yang pada akhirnya dapat memengaruhi besar kecilnya risiko terjadinya anemia</w:t>
      </w:r>
      <w:r>
        <w:rPr>
          <w:vertAlign w:val="superscript"/>
        </w:rPr>
        <w:t>11</w:t>
      </w:r>
      <w:r>
        <w:t>.</w:t>
      </w:r>
    </w:p>
    <w:p w:rsidR="00F57904" w:rsidRDefault="00000000">
      <w:pPr>
        <w:jc w:val="both"/>
      </w:pPr>
      <w:r>
        <w:rPr>
          <w:b/>
        </w:rPr>
        <w:t xml:space="preserve">Gambaran Penderita Anemia dalam Kehamilan dengan Status Pekerjaan Ibu Hamil </w:t>
      </w:r>
    </w:p>
    <w:p w:rsidR="00F57904" w:rsidRDefault="00000000">
      <w:pPr>
        <w:ind w:firstLine="284"/>
        <w:jc w:val="both"/>
      </w:pPr>
      <w:r>
        <w:t>Penelitian ini dilakukan di wilayah kerja Puskesmas Somba Opu. Hasil penelitian didapatkan berdasarkan status pekerjaan  yakni terbanyak pada status pekerjaan Ibu Rumah Tangga sebanyak 60 orang (75%), sedangkan status pekerjaan paling sedikit yakni pada status pekerjaan pedagang sebanyak 4 orang (5%). </w:t>
      </w:r>
    </w:p>
    <w:p w:rsidR="00F57904" w:rsidRDefault="00000000">
      <w:pPr>
        <w:ind w:firstLine="284"/>
        <w:jc w:val="both"/>
      </w:pPr>
      <w:r>
        <w:t>Infeksi parasit maupun bakteri (seperti pielonefritis akut), infeksi virus kronis (seperti HIV), dan penyakit inflamasi kronis yang mempengaruhi pencernaan (seperti penyakit Crohn, kolitis ulseratif) dapat menyebabkan anemia.Inhibisi hematopoeisis yang dimediasi oleh sitokin dan penurunan pelepasan zat besi dari sistem retikuloendotelial menyebabkan anemiabu</w:t>
      </w:r>
      <w:r>
        <w:rPr>
          <w:vertAlign w:val="superscript"/>
        </w:rPr>
        <w:t>10</w:t>
      </w:r>
      <w:r>
        <w:t>.</w:t>
      </w:r>
    </w:p>
    <w:p w:rsidR="00F57904" w:rsidRDefault="00000000">
      <w:pPr>
        <w:ind w:firstLine="284"/>
        <w:jc w:val="both"/>
      </w:pPr>
      <w:r>
        <w:t>Ibu rumah tangga yang rutin melakukan aktivitas domestik seperti mencuci dan membersihkan rumah cenderung terpapar partikel-partikel di dalam ruangan. Paparan ini berpotensi memicu peradangan sistemik yang dapat mengganggu proses pembentukan sel darah (hematopoiesis)</w:t>
      </w:r>
      <w:r>
        <w:rPr>
          <w:vertAlign w:val="superscript"/>
        </w:rPr>
        <w:t>22</w:t>
      </w:r>
      <w:r>
        <w:t>. Akibatnya, sel-sel tubuh menjadi lebih rentan, dan produksi sel darah merah serta hemoglobin dapat menurun, yang pada akhirnya meningkatkan risiko terjadinya anemia</w:t>
      </w:r>
      <w:r>
        <w:rPr>
          <w:vertAlign w:val="superscript"/>
        </w:rPr>
        <w:t>12</w:t>
      </w:r>
    </w:p>
    <w:p w:rsidR="00F57904" w:rsidRDefault="00000000">
      <w:pPr>
        <w:jc w:val="both"/>
      </w:pPr>
      <w:r>
        <w:rPr>
          <w:b/>
        </w:rPr>
        <w:t>Gambaran Penderita Anemia dalam Kehamilan dengan Trimester Kehamilan Ibu Hamil</w:t>
      </w:r>
    </w:p>
    <w:p w:rsidR="00F57904" w:rsidRDefault="00000000">
      <w:pPr>
        <w:ind w:firstLine="284"/>
        <w:jc w:val="both"/>
      </w:pPr>
      <w:r>
        <w:t xml:space="preserve">Penelitian ini dilakukan di wilayah kerja Puskesmas Somba Opu. Hasil penelitian didapatkan berdasarkan trimester kehamilan yakni terbanyak pada trimester 2 yakni sebanyak 68 orang (85%) sedangkan kelompok paling sedikit yakni pada trimester 1 sebanyak 1 orang (1,3%). Karena volume plasma yang meningkat dibandingkan massa eritrosit yang menurun, anemia paling sering terjadi pada trimester kedua dan ketiga kehamilan. </w:t>
      </w:r>
    </w:p>
    <w:p w:rsidR="00F57904" w:rsidRDefault="00000000">
      <w:pPr>
        <w:ind w:firstLine="284"/>
        <w:jc w:val="both"/>
      </w:pPr>
      <w:r>
        <w:t xml:space="preserve">Selama trimester kedua kehamilan,hemodilusi biasanya menyebabkan anemia, yang mencapai puncaknya pada trimester ketiga karena kebutuhan zat besi meningkat </w:t>
      </w:r>
      <w:r>
        <w:rPr>
          <w:vertAlign w:val="superscript"/>
        </w:rPr>
        <w:t>13</w:t>
      </w:r>
      <w:r>
        <w:t xml:space="preserve">.Selama masa kehamilan, volume plasma mulai meningkat sejak usia kehamilan 6 minggu dan mencapai puncaknya sekitar minggu ke-32, lalu stabil hingga saat persalinan. </w:t>
      </w:r>
    </w:p>
    <w:p w:rsidR="00F57904" w:rsidRDefault="00000000">
      <w:pPr>
        <w:ind w:firstLine="284"/>
        <w:jc w:val="both"/>
      </w:pPr>
      <w:r>
        <w:t>Proses ini menyebabkan kadar hemoglobin ibu hamil mengalami penurunan seiring bertambahnya usia kehamilan. Akibatnya, kejadian anemia cenderung lebih jarang ditemukan pada trimester pertama dibandingkan dengan trimester kedua dan ketiga</w:t>
      </w:r>
      <w:r>
        <w:rPr>
          <w:vertAlign w:val="superscript"/>
        </w:rPr>
        <w:t>14</w:t>
      </w:r>
      <w:r>
        <w:t>.</w:t>
      </w:r>
    </w:p>
    <w:p w:rsidR="00F57904" w:rsidRDefault="00000000">
      <w:pPr>
        <w:jc w:val="both"/>
      </w:pPr>
      <w:r>
        <w:rPr>
          <w:b/>
        </w:rPr>
        <w:t>Gambaran Penderita Anemia dalam Kehamilan dengan Paritas Ibu Hamil</w:t>
      </w:r>
    </w:p>
    <w:p w:rsidR="00F57904" w:rsidRDefault="00000000">
      <w:pPr>
        <w:ind w:firstLine="284"/>
        <w:jc w:val="both"/>
      </w:pPr>
      <w:r>
        <w:t xml:space="preserve">Penelitian ini dilakukan di wilayah kerja Puskesmas Somba Opu. Hasil penelitian didapatkan berdasarkan paritas Ibu hamil yakni terbanyak pada jenis paritas multipara </w:t>
      </w:r>
      <w:r>
        <w:lastRenderedPageBreak/>
        <w:t>yaitu sebanyak 58 orang (72,5%) sedangkan paling sedikit yakni pada jenis primipara sebanyak 22 orang (27,5%).</w:t>
      </w:r>
    </w:p>
    <w:p w:rsidR="00F57904" w:rsidRDefault="00000000">
      <w:pPr>
        <w:ind w:firstLine="284"/>
        <w:jc w:val="both"/>
      </w:pPr>
      <w:r>
        <w:t>Kebutuhan zat besi yang tinggi selama kehamilan, yang seringkali tidak dipenuhi dengan asupan zat besi yang cukup, paritas tinggi merupakan salah satu faktor risiko anemia pada kehamilan. Karena kehamilan menguras cadangan zat besi tubuh, bu dengan paritas tinggi lebih rentan mengalami anemia. Ini karena jarak kehamilan yang dekat tidak memungkinkan pemulihan cadangan besi</w:t>
      </w:r>
      <w:r>
        <w:rPr>
          <w:vertAlign w:val="superscript"/>
        </w:rPr>
        <w:t>15</w:t>
      </w:r>
      <w:r>
        <w:t>.</w:t>
      </w:r>
    </w:p>
    <w:p w:rsidR="00F57904" w:rsidRDefault="00000000">
      <w:pPr>
        <w:ind w:firstLine="284"/>
        <w:jc w:val="both"/>
      </w:pPr>
      <w:r>
        <w:t>Anemia defisiensi zat besi pada kehamilan paling sering dikaitkan dengan kebutuhan ibu dan janin selama kehamilan, meskipun beberapa wanita memulai kehamilan dengan IDA, terutama karena menstruasi yang tidak teratur, kehamilan sebelumnya, dan/atau asupan makanan yang tidak memadai</w:t>
      </w:r>
      <w:r>
        <w:rPr>
          <w:vertAlign w:val="superscript"/>
        </w:rPr>
        <w:t>16</w:t>
      </w:r>
      <w:r>
        <w:t>.</w:t>
      </w:r>
    </w:p>
    <w:p w:rsidR="00F57904" w:rsidRDefault="00000000">
      <w:pPr>
        <w:jc w:val="both"/>
      </w:pPr>
      <w:r>
        <w:rPr>
          <w:b/>
        </w:rPr>
        <w:t>Gambaran Penderita Anemia dalam Kehamilan dengan Suku dan Budaya Ibu Hamil</w:t>
      </w:r>
    </w:p>
    <w:p w:rsidR="00F57904" w:rsidRDefault="00000000">
      <w:pPr>
        <w:ind w:firstLine="284"/>
        <w:jc w:val="both"/>
      </w:pPr>
      <w:r>
        <w:t>Penelitian ini dilakukan di wilayah kerja Puskesmas Somba Opu. Hasil penelitian didapatkan berdasarkan suku dan budaya yakni terbanyak dengan suku Makassar sebanyak 60 orang (75%) dan paling sedikit yakni suku Toraja sebanyak 4 orang (5%). </w:t>
      </w:r>
    </w:p>
    <w:p w:rsidR="00F57904" w:rsidRDefault="00000000">
      <w:pPr>
        <w:jc w:val="both"/>
      </w:pPr>
      <w:r>
        <w:t>Pantangan makanan selama kehamilan sering kali berakar pada tradisi budaya dan sering kali melibatkan penghindaran makanan kaya zat besi seperti daging, ikan, dan sayuran hijau. Praktik-praktik ini, yang bervariasi di antara kelompok etnis, secara signifikan mengganggu asupan zat besi ibu dan dengan demikian meningkatkan risiko anemia</w:t>
      </w:r>
      <w:r>
        <w:rPr>
          <w:vertAlign w:val="superscript"/>
        </w:rPr>
        <w:t>17</w:t>
      </w:r>
      <w:r>
        <w:t>.</w:t>
      </w:r>
    </w:p>
    <w:p w:rsidR="00F57904" w:rsidRDefault="00000000">
      <w:pPr>
        <w:ind w:firstLine="284"/>
        <w:jc w:val="both"/>
      </w:pPr>
      <w:r>
        <w:t xml:space="preserve">Pantangan makanan pada ibu hamil yang berasal dari kepercayaan budaya dapat menyebabkan penurunan asupan zat besi dan zat gizi lainnya, yang berkontribusi terhadap tingginya prevalensi anemia dalam kehamilan </w:t>
      </w:r>
      <w:r>
        <w:rPr>
          <w:vertAlign w:val="superscript"/>
        </w:rPr>
        <w:t>18</w:t>
      </w:r>
      <w:r>
        <w:t xml:space="preserve">. Menurut </w:t>
      </w:r>
      <w:r>
        <w:rPr>
          <w:i/>
        </w:rPr>
        <w:t>Word Health Organization</w:t>
      </w:r>
      <w:r>
        <w:t>, anemia pada ibu hamil masih menjadi masalah kesehatan global yang serius. Salah satu penyebab anemia yang paling sering diabaikan adalah kekurangan zat besi yang disebabkan oleh kebiasaan diet atau pantangan budaya.</w:t>
      </w:r>
    </w:p>
    <w:p w:rsidR="00F57904" w:rsidRDefault="00F57904">
      <w:pPr>
        <w:jc w:val="both"/>
      </w:pPr>
    </w:p>
    <w:p w:rsidR="00F57904" w:rsidRDefault="00000000">
      <w:pPr>
        <w:pStyle w:val="Heading1"/>
        <w:spacing w:after="60"/>
        <w:rPr>
          <w:i w:val="0"/>
          <w:sz w:val="24"/>
          <w:szCs w:val="24"/>
        </w:rPr>
      </w:pPr>
      <w:r>
        <w:rPr>
          <w:i w:val="0"/>
          <w:sz w:val="24"/>
          <w:szCs w:val="24"/>
        </w:rPr>
        <w:t>KESIMPULAN</w:t>
      </w:r>
    </w:p>
    <w:p w:rsidR="00F57904" w:rsidRDefault="00000000">
      <w:pPr>
        <w:ind w:firstLine="284"/>
        <w:jc w:val="both"/>
      </w:pPr>
      <w:r>
        <w:t>Berdasarkan hasil penelitian dan pembahasan yang diperoleh, maka dapat disimpulkan sebagai berikut :</w:t>
      </w:r>
    </w:p>
    <w:p w:rsidR="00F57904" w:rsidRDefault="00000000">
      <w:pPr>
        <w:jc w:val="both"/>
      </w:pPr>
      <w:r>
        <w:t>Mayoritas ibu hamil yang mengalami anemia berada dalam kategori anemia ringan sebanyak 32 orang (40%), dan anemia yang dialami oleh 19 orang (23,8%). Tidak ditemukan kasus anemia berat. Meskipun anemia ringan mendominasi, kondisi ini tetap memerlukan penanganan serius agar tidak berkembang menjadi anemia yang lebih berat.</w:t>
      </w:r>
    </w:p>
    <w:p w:rsidR="00F57904" w:rsidRDefault="00000000">
      <w:pPr>
        <w:ind w:firstLine="284"/>
        <w:jc w:val="both"/>
      </w:pPr>
      <w:r>
        <w:t>Kejadian anemia paling banyak terjadi pada kelompok usia 26–31 tahun sebanyak 34 orang (42,5%). Hal ini menunjukkan bahwa usia produktif tetap memiliki risiko terhadap anemia dalam kehamilan, dan bahwa faktor usia perlu ditentukan bersama dengan variabel lain seperti pendidikan dan paritas.</w:t>
      </w:r>
    </w:p>
    <w:p w:rsidR="00F57904" w:rsidRDefault="00000000">
      <w:pPr>
        <w:ind w:firstLine="284"/>
        <w:jc w:val="both"/>
      </w:pPr>
      <w:r>
        <w:t>Tingkat pendidikan terbanyak pada ibu hamil penderita anemia adalah Sekolah Menengah Atas (SMA) sebanyak 55 orang (68,8%). Pendidikan formal tidak selalu langsung terbebani dengan kejadian anemia, tetapi sebagian besar penderita anemia adalah ibu rumah tangga, yaitu sebanyak 60 orang (75%). Faktor-faktor yang mendasari kondisi ini antara lain adalah keterbatasan ekonomi, kurangnya pengetahuan gizi, serta paparan partikel dalam ruangan akibat aktivitas domestik, yang dapat mengganggu proses hematopoiesis.</w:t>
      </w:r>
    </w:p>
    <w:p w:rsidR="00F57904" w:rsidRDefault="00000000">
      <w:pPr>
        <w:ind w:firstLine="284"/>
        <w:jc w:val="both"/>
      </w:pPr>
      <w:r>
        <w:t xml:space="preserve">Anemia paling banyak ditemukan pada ibu hamil di trimester kedua kehamilan, yakni sebanyak 68 orang (85%). Hal ini selaras dengan mekanisme peningkatan volume plasma yang mempengaruhi kadar hemoglobin, serta menunjukkan pentingnya deteksi dan pencegahan anemia sejak awal kehamilan.Penderita anemia terbanyak berasal dari kelompok multipara sebanyak 58 orang (72,5%). </w:t>
      </w:r>
    </w:p>
    <w:p w:rsidR="00F57904" w:rsidRDefault="00000000">
      <w:pPr>
        <w:ind w:firstLine="284"/>
        <w:jc w:val="both"/>
      </w:pPr>
      <w:r>
        <w:t xml:space="preserve">Penderita  anemia terbanyak berasal dari kelompok multipara sebanyak 58 orang (72,5%). Kehamilan berulang dengan jarak </w:t>
      </w:r>
      <w:r>
        <w:lastRenderedPageBreak/>
        <w:t>yang dekat berkontribusi pada berkurangnya cadangan zat besi, yang meningkatkan risiko anemia selama kehamilan berikutnya.</w:t>
      </w:r>
    </w:p>
    <w:p w:rsidR="00F57904" w:rsidRDefault="00000000">
      <w:pPr>
        <w:ind w:firstLine="284"/>
        <w:jc w:val="both"/>
      </w:pPr>
      <w:r>
        <w:t>Anemia paling banyak terjadi pada ibu hamil dari suku Makassar sebanyak 60 orang (75%). Kebiasaan budaya seperti pantangan makanan selama kehamilan yang menghindari makanan sumber zat besi (misalnya daging, ikan, dan sayuran hijau) berkontribusi terhadap rendahnya asupan zat besi dan meningkatnya risiko anemia.</w:t>
      </w:r>
    </w:p>
    <w:p w:rsidR="00F57904" w:rsidRDefault="00000000">
      <w:pPr>
        <w:ind w:firstLine="284"/>
        <w:jc w:val="both"/>
      </w:pPr>
      <w:r>
        <w:t>Penelitian ini mengungkap bahwa anemia pada kehamilan merupakan kondisi yang masih banyak ditemukan di wilayah kerja Puskesmas Somba Opu, dengan distribusi yang bervariasi berdasarkan status anemia, usia, pekerjaan, pendidikan, trimester kehamilan, paritas, serta latar belakang suku dan budaya. Penatalaksanaan anemia perlu dilakukan secara komprehensif dengan mempertimbangkan faktor sosial, budaya, dan fisiologis, serta melalui edukasi dan intervensi yang disesuaikan dengan karakteristik ibu hamil.</w:t>
      </w:r>
    </w:p>
    <w:p w:rsidR="00F57904" w:rsidRDefault="00000000">
      <w:pPr>
        <w:ind w:firstLine="284"/>
        <w:jc w:val="both"/>
      </w:pPr>
      <w:r>
        <w:t>Saran untuk penelitian ini  yakni pada Perempuan diharapkan untuk memperhatikan pentingnya konsumsi tablet tambah darah dan pola hidup sehat bagi wanita muda untuk mencegah anemia pada saat kehamilan. Dan untuk ibu hamil diharapkan lebih aktif dalam mengikuti program antenatal care (ANC), rutin memeriksa kadar hemoglobin, dan patuh dalam mengonsumsi tablet darah sesuai anjuran. Ibu hamil juga diharapkan dapat meningkatkan pengetahuan mengenai pola makan bergizi seimbang dan tidak sepenuhnya mengikuti larangan makanan tertentu yang dapat meningkatkan risiko anemia.</w:t>
      </w:r>
    </w:p>
    <w:p w:rsidR="00F57904" w:rsidRDefault="00000000">
      <w:pPr>
        <w:ind w:firstLine="284"/>
        <w:jc w:val="both"/>
      </w:pPr>
      <w:r>
        <w:t>Selain itu pula, mengingat penelitian ini hanya dilakukan di satu fasilitas pelayanan kesehatan, disarankan agar penelitian selanjutnya dilakukan di beberapa lokasi atau wilayah yang berbeda untuk memperoleh gambaran yang lebih representatif mengenai karakteristik penderita anemia dalam kehamilan dan menambahkan beberapa variable untuk penelitian selanjutnya.</w:t>
      </w:r>
    </w:p>
    <w:p w:rsidR="00D437E7" w:rsidRDefault="00D437E7" w:rsidP="00D437E7">
      <w:pPr>
        <w:jc w:val="both"/>
      </w:pPr>
    </w:p>
    <w:p w:rsidR="00D437E7" w:rsidRDefault="00D437E7" w:rsidP="00D437E7">
      <w:pPr>
        <w:jc w:val="both"/>
      </w:pPr>
    </w:p>
    <w:p w:rsidR="00F57904" w:rsidRDefault="00000000">
      <w:pPr>
        <w:pStyle w:val="Heading1"/>
        <w:spacing w:after="60"/>
        <w:rPr>
          <w:i w:val="0"/>
          <w:sz w:val="24"/>
          <w:szCs w:val="24"/>
        </w:rPr>
      </w:pPr>
      <w:r>
        <w:rPr>
          <w:i w:val="0"/>
          <w:sz w:val="24"/>
          <w:szCs w:val="24"/>
        </w:rPr>
        <w:t>DAFTAR PUSTAKA</w:t>
      </w:r>
    </w:p>
    <w:p w:rsidR="00F57904" w:rsidRDefault="00000000">
      <w:pPr>
        <w:widowControl w:val="0"/>
        <w:ind w:left="640" w:hanging="640"/>
        <w:jc w:val="both"/>
      </w:pPr>
      <w:r>
        <w:t>1.</w:t>
      </w:r>
      <w:r>
        <w:tab/>
        <w:t xml:space="preserve">Aulya Y, Dahlan FM. Penyuluhan Tentang Pentingnya Mengkonsumsi Tablet Fe Pada Ibu Hamil. </w:t>
      </w:r>
      <w:r>
        <w:rPr>
          <w:i/>
        </w:rPr>
        <w:t>J Peduli Masy</w:t>
      </w:r>
      <w:r>
        <w:t>. 2022;4(4):709-714.</w:t>
      </w:r>
    </w:p>
    <w:p w:rsidR="00F57904" w:rsidRDefault="00000000">
      <w:pPr>
        <w:widowControl w:val="0"/>
        <w:ind w:left="640" w:hanging="640"/>
        <w:jc w:val="both"/>
      </w:pPr>
      <w:r>
        <w:t>2.</w:t>
      </w:r>
      <w:r>
        <w:tab/>
        <w:t xml:space="preserve">Hamzah. Laporan Riskesdas 2018 Nasional. </w:t>
      </w:r>
      <w:r>
        <w:rPr>
          <w:i/>
        </w:rPr>
        <w:t>Lemb Penerbit Balitbangkes</w:t>
      </w:r>
      <w:r>
        <w:t>. Published online 2020:70-75. https://repository.badankebijakan.kemkes.go.id/id/eprint/3514/1/Laporan Riskesdas 2018 Nasional.pdf</w:t>
      </w:r>
    </w:p>
    <w:p w:rsidR="00F57904" w:rsidRDefault="00000000">
      <w:pPr>
        <w:widowControl w:val="0"/>
        <w:ind w:left="640" w:hanging="640"/>
        <w:jc w:val="both"/>
      </w:pPr>
      <w:r>
        <w:t>3.</w:t>
      </w:r>
      <w:r>
        <w:tab/>
        <w:t xml:space="preserve">Ali SA, Hassan AA, Adam I. History of Pica, Obesity, and Their Associations with Anemia in Pregnancy: A Community-Based Cross-Sectional Study. </w:t>
      </w:r>
      <w:r>
        <w:rPr>
          <w:i/>
        </w:rPr>
        <w:t>Life</w:t>
      </w:r>
      <w:r>
        <w:t>. 2023;13(11). doi:10.3390/life13112220</w:t>
      </w:r>
    </w:p>
    <w:p w:rsidR="00F57904" w:rsidRDefault="00000000">
      <w:pPr>
        <w:widowControl w:val="0"/>
        <w:ind w:left="640" w:hanging="640"/>
        <w:jc w:val="both"/>
      </w:pPr>
      <w:r>
        <w:t>4.</w:t>
      </w:r>
      <w:r>
        <w:tab/>
        <w:t xml:space="preserve">Saghian R, Bogle G, James JL, Clark AR. Establishment of maternal blood supply to the placenta: Insights into plugging, unplugging and trophoblast behaviour from an agent-based model. </w:t>
      </w:r>
      <w:r>
        <w:rPr>
          <w:i/>
        </w:rPr>
        <w:t>Interface Focus</w:t>
      </w:r>
      <w:r>
        <w:t>. 2019;9(5). doi:10.1098/rsfs.2019.0019</w:t>
      </w:r>
    </w:p>
    <w:p w:rsidR="00F57904" w:rsidRDefault="00000000">
      <w:pPr>
        <w:widowControl w:val="0"/>
        <w:ind w:left="640" w:hanging="640"/>
        <w:jc w:val="both"/>
      </w:pPr>
      <w:r>
        <w:t>5.</w:t>
      </w:r>
      <w:r>
        <w:tab/>
        <w:t xml:space="preserve">Soma-Pillay P, Nelson-Piercy C, Tolppanen H, Mebazaa A. Physiological changes in pregnancy. </w:t>
      </w:r>
      <w:r>
        <w:rPr>
          <w:i/>
        </w:rPr>
        <w:t>Cardiovasc J Afr</w:t>
      </w:r>
      <w:r>
        <w:t>. 2016;27(2):89-94. doi:10.5830/CVJA-2016-021</w:t>
      </w:r>
    </w:p>
    <w:p w:rsidR="00F57904" w:rsidRDefault="00000000">
      <w:pPr>
        <w:widowControl w:val="0"/>
        <w:ind w:left="640" w:hanging="640"/>
        <w:jc w:val="both"/>
      </w:pPr>
      <w:r>
        <w:t>6.</w:t>
      </w:r>
      <w:r>
        <w:tab/>
        <w:t xml:space="preserve">Asmin E, Salulinggi A, Titaley CR, Bension J. Hubungan Pengetahuan Dan Kepatuhan Ibu Hamil Konsumsi Tablet Tambah Darah Dengan Kejadian Anemia Di Kecamatan Leitimur Selatan Dan Teluk Ambon. </w:t>
      </w:r>
      <w:r>
        <w:rPr>
          <w:i/>
        </w:rPr>
        <w:t>J Epidemiol Kesehat Komunitas</w:t>
      </w:r>
      <w:r>
        <w:t>. 2021;6(1):229-236. doi:10.14710/jekk.v6i1.10180</w:t>
      </w:r>
    </w:p>
    <w:p w:rsidR="00F57904" w:rsidRDefault="00000000">
      <w:pPr>
        <w:widowControl w:val="0"/>
        <w:ind w:left="640" w:hanging="640"/>
        <w:jc w:val="both"/>
      </w:pPr>
      <w:r>
        <w:t>7.</w:t>
      </w:r>
      <w:r>
        <w:tab/>
        <w:t xml:space="preserve">Arnianti A. The Relationship of Knowledge and Occupation with the Incidence of Anaemia in Pregnant Women. </w:t>
      </w:r>
      <w:r>
        <w:rPr>
          <w:i/>
        </w:rPr>
        <w:t>J Ilm Kebidanan (The J Midwifery)</w:t>
      </w:r>
      <w:r>
        <w:t>. 2024;12(1):89-94. doi:10.33992/jik.v12i1.3268</w:t>
      </w:r>
    </w:p>
    <w:p w:rsidR="00F57904" w:rsidRDefault="00000000">
      <w:pPr>
        <w:widowControl w:val="0"/>
        <w:ind w:left="640" w:hanging="640"/>
        <w:jc w:val="both"/>
      </w:pPr>
      <w:r>
        <w:t>8.</w:t>
      </w:r>
      <w:r>
        <w:tab/>
        <w:t xml:space="preserve">Pavord S, Daru J, Prasannan N, </w:t>
      </w:r>
      <w:r>
        <w:lastRenderedPageBreak/>
        <w:t xml:space="preserve">Robinson S, Stanworth S, Girling J. UK guidelines on the management of iron deficiency in pregnancy. </w:t>
      </w:r>
      <w:r>
        <w:rPr>
          <w:i/>
        </w:rPr>
        <w:t>Br J Haematol</w:t>
      </w:r>
      <w:r>
        <w:t>. 2020;188(6):819-830. doi:10.1111/bjh.16221</w:t>
      </w:r>
    </w:p>
    <w:p w:rsidR="00F57904" w:rsidRDefault="00000000">
      <w:pPr>
        <w:widowControl w:val="0"/>
        <w:ind w:left="640" w:hanging="640"/>
        <w:jc w:val="both"/>
      </w:pPr>
      <w:r>
        <w:t>9.</w:t>
      </w:r>
      <w:r>
        <w:tab/>
        <w:t xml:space="preserve">Wibowo N, Rima I, Rabbania H. </w:t>
      </w:r>
      <w:r>
        <w:rPr>
          <w:i/>
        </w:rPr>
        <w:t>Anemia Defisiensi Besi Pada Kehamilan</w:t>
      </w:r>
      <w:r>
        <w:t>.; 2021. https://www.pogi.or.id/wp-content/uploads/download-manager-files/Anemia Defisiensi Besi Pada Kehamilan.pdf</w:t>
      </w:r>
    </w:p>
    <w:p w:rsidR="00F57904" w:rsidRDefault="00000000">
      <w:pPr>
        <w:widowControl w:val="0"/>
        <w:ind w:left="640" w:hanging="640"/>
        <w:jc w:val="both"/>
      </w:pPr>
      <w:r>
        <w:t>10.</w:t>
      </w:r>
      <w:r>
        <w:tab/>
        <w:t xml:space="preserve">Kemenkes. </w:t>
      </w:r>
      <w:r>
        <w:rPr>
          <w:i/>
        </w:rPr>
        <w:t>Buku Saku Pencegahan Anemia Pada Ibu Hami</w:t>
      </w:r>
      <w:r>
        <w:t>.; 2023.</w:t>
      </w:r>
    </w:p>
    <w:p w:rsidR="00F57904" w:rsidRDefault="00000000">
      <w:pPr>
        <w:widowControl w:val="0"/>
        <w:ind w:left="640" w:hanging="640"/>
        <w:jc w:val="both"/>
      </w:pPr>
      <w:r>
        <w:t>11.</w:t>
      </w:r>
      <w:r>
        <w:tab/>
        <w:t xml:space="preserve">Corneles SM, Losu FN. Hubungan Tingkat Pendidikan Dengan Pengetahuan Ibu Hamil Tentang Kehamilan Risiko Tinggi. </w:t>
      </w:r>
      <w:r>
        <w:rPr>
          <w:i/>
        </w:rPr>
        <w:t>J Ilm Bidan</w:t>
      </w:r>
      <w:r>
        <w:t>. 2015;3:51-55.</w:t>
      </w:r>
    </w:p>
    <w:p w:rsidR="00F57904" w:rsidRDefault="00000000">
      <w:pPr>
        <w:widowControl w:val="0"/>
        <w:ind w:left="640" w:hanging="640"/>
        <w:jc w:val="both"/>
      </w:pPr>
      <w:r>
        <w:t>12.</w:t>
      </w:r>
      <w:r>
        <w:tab/>
        <w:t xml:space="preserve">Kwag Y, Ye S, Oh J, et al. Direct and indirect effects of indoor particulate matter on blood indicators related to anemia. </w:t>
      </w:r>
      <w:r>
        <w:rPr>
          <w:i/>
        </w:rPr>
        <w:t>Int J Environ Res Public Health</w:t>
      </w:r>
      <w:r>
        <w:t>. 2021;18(24). doi:10.3390/ijerph182412890</w:t>
      </w:r>
    </w:p>
    <w:p w:rsidR="00F57904" w:rsidRDefault="00000000">
      <w:pPr>
        <w:widowControl w:val="0"/>
        <w:ind w:left="640" w:hanging="640"/>
        <w:jc w:val="both"/>
      </w:pPr>
      <w:r>
        <w:t>13.</w:t>
      </w:r>
      <w:r>
        <w:tab/>
        <w:t xml:space="preserve">Saifuddin AB. Ilmu Kebidanan. </w:t>
      </w:r>
      <w:r>
        <w:rPr>
          <w:i/>
        </w:rPr>
        <w:t>Ed Ke-4</w:t>
      </w:r>
      <w:r>
        <w:t>. Published online 2020:981.</w:t>
      </w:r>
    </w:p>
    <w:p w:rsidR="00F57904" w:rsidRDefault="00000000">
      <w:pPr>
        <w:widowControl w:val="0"/>
        <w:ind w:left="640" w:hanging="640"/>
        <w:jc w:val="both"/>
      </w:pPr>
      <w:r>
        <w:t>14.</w:t>
      </w:r>
      <w:r>
        <w:tab/>
        <w:t xml:space="preserve">Kwak DW, Kim S, Lee SY, et al. Maternal Anemia during the First Trimester and Its Association with Psychological Health. </w:t>
      </w:r>
      <w:r>
        <w:rPr>
          <w:i/>
        </w:rPr>
        <w:t>Nutrients</w:t>
      </w:r>
      <w:r>
        <w:t>. 2022;14(17):1-13. doi:10.3390/nu14173505</w:t>
      </w:r>
    </w:p>
    <w:p w:rsidR="00F57904" w:rsidRDefault="00000000">
      <w:pPr>
        <w:widowControl w:val="0"/>
        <w:ind w:left="640" w:hanging="640"/>
        <w:jc w:val="both"/>
      </w:pPr>
      <w:r>
        <w:t>15.</w:t>
      </w:r>
      <w:r>
        <w:tab/>
        <w:t xml:space="preserve">aksari S IN. Usia Kehamilan Sebagai Faktor Yang Berhubungan Dengan Kejadian Anemia Pada Ibu Hamil Selama Pandemi COVID 19. </w:t>
      </w:r>
      <w:r>
        <w:rPr>
          <w:i/>
        </w:rPr>
        <w:t>J Kebidanan Indones</w:t>
      </w:r>
      <w:r>
        <w:t>. 2022;13(1):94-102.</w:t>
      </w:r>
    </w:p>
    <w:p w:rsidR="00F57904" w:rsidRDefault="00000000">
      <w:pPr>
        <w:widowControl w:val="0"/>
        <w:ind w:left="640" w:hanging="640"/>
        <w:jc w:val="both"/>
      </w:pPr>
      <w:r>
        <w:t>16.</w:t>
      </w:r>
      <w:r>
        <w:tab/>
        <w:t xml:space="preserve">Wirawan F, Nurrika D. Maternal pre-pregnancy anemia and childhood anemia in Indonesia: a risk assessment using a population-based prospective longitudinal study. </w:t>
      </w:r>
      <w:r>
        <w:rPr>
          <w:i/>
        </w:rPr>
        <w:t>Epidemiol Health</w:t>
      </w:r>
      <w:r>
        <w:t>. 2022;44:1-10. doi:10.4178/epih.e2022100</w:t>
      </w:r>
    </w:p>
    <w:p w:rsidR="00F57904" w:rsidRDefault="00000000">
      <w:pPr>
        <w:widowControl w:val="0"/>
        <w:ind w:left="640" w:hanging="640"/>
        <w:jc w:val="both"/>
      </w:pPr>
      <w:r>
        <w:t>17.</w:t>
      </w:r>
      <w:r>
        <w:tab/>
        <w:t xml:space="preserve">Diana R, Rachmayanti RD, Anwar F, </w:t>
      </w:r>
      <w:r>
        <w:t xml:space="preserve">Khomsan A, Christianti DF, Kusuma R. Food taboos and suggestions among Madurese pregnant women: a qualitative study. </w:t>
      </w:r>
      <w:r>
        <w:rPr>
          <w:i/>
        </w:rPr>
        <w:t>J Ethn Foods</w:t>
      </w:r>
      <w:r>
        <w:t>. 2018;5(4):246-253. doi:10.1016/j.jef.2018.10.006</w:t>
      </w:r>
    </w:p>
    <w:p w:rsidR="00F57904" w:rsidRDefault="00000000">
      <w:pPr>
        <w:widowControl w:val="0"/>
        <w:ind w:left="640" w:hanging="640"/>
        <w:jc w:val="both"/>
      </w:pPr>
      <w:r>
        <w:t>18.</w:t>
      </w:r>
      <w:r>
        <w:tab/>
        <w:t xml:space="preserve">Rahmawati S, Widiasih R, Maryati I, Hermayanti Y, Ermiati E, Natasya W. The Experiences of Nutrition Fulfillment in Mothers with a History of Anemia During Pregnancy: A Qualitative Study. </w:t>
      </w:r>
      <w:r>
        <w:rPr>
          <w:i/>
        </w:rPr>
        <w:t>Amerta Nutr</w:t>
      </w:r>
      <w:r>
        <w:t>. 2023;7(3):350-357. doi:10.20473/amnt.v7i3.2023.350-357</w:t>
      </w:r>
    </w:p>
    <w:sectPr w:rsidR="00F57904">
      <w:type w:val="continuous"/>
      <w:pgSz w:w="11909" w:h="16834"/>
      <w:pgMar w:top="1418" w:right="1134" w:bottom="1134" w:left="1418" w:header="1063" w:footer="1241" w:gutter="0"/>
      <w:cols w:num="2" w:space="720" w:equalWidth="0">
        <w:col w:w="4451" w:space="454"/>
        <w:col w:w="44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6DC9" w:rsidRDefault="00BE6DC9">
      <w:r>
        <w:separator/>
      </w:r>
    </w:p>
  </w:endnote>
  <w:endnote w:type="continuationSeparator" w:id="0">
    <w:p w:rsidR="00BE6DC9" w:rsidRDefault="00BE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904" w:rsidRDefault="00F57904">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51" w:type="pct"/>
      <w:jc w:val="right"/>
      <w:tblCellMar>
        <w:top w:w="115" w:type="dxa"/>
        <w:left w:w="115" w:type="dxa"/>
        <w:bottom w:w="115" w:type="dxa"/>
        <w:right w:w="115" w:type="dxa"/>
      </w:tblCellMar>
      <w:tblLook w:val="04A0" w:firstRow="1" w:lastRow="0" w:firstColumn="1" w:lastColumn="0" w:noHBand="0" w:noVBand="1"/>
    </w:tblPr>
    <w:tblGrid>
      <w:gridCol w:w="8890"/>
      <w:gridCol w:w="750"/>
    </w:tblGrid>
    <w:tr w:rsidR="00C149A6" w:rsidTr="00C149A6">
      <w:trPr>
        <w:jc w:val="right"/>
      </w:trPr>
      <w:tc>
        <w:tcPr>
          <w:tcW w:w="8889" w:type="dxa"/>
          <w:vAlign w:val="center"/>
        </w:tcPr>
        <w:sdt>
          <w:sdtPr>
            <w:rPr>
              <w:caps/>
              <w:color w:val="000000" w:themeColor="text1"/>
            </w:rPr>
            <w:alias w:val="Author"/>
            <w:tag w:val=""/>
            <w:id w:val="1534539408"/>
            <w:placeholder>
              <w:docPart w:val="0FDB159A9BDFBC4C96BDDE5B9229FA0E"/>
            </w:placeholder>
            <w:dataBinding w:prefixMappings="xmlns:ns0='http://purl.org/dc/elements/1.1/' xmlns:ns1='http://schemas.openxmlformats.org/package/2006/metadata/core-properties' " w:xpath="/ns1:coreProperties[1]/ns0:creator[1]" w:storeItemID="{6C3C8BC8-F283-45AE-878A-BAB7291924A1}"/>
            <w:text/>
          </w:sdtPr>
          <w:sdtContent>
            <w:p w:rsidR="00C149A6" w:rsidRDefault="00C149A6" w:rsidP="00C149A6">
              <w:pPr>
                <w:pStyle w:val="Header"/>
                <w:ind w:left="0" w:hanging="2"/>
                <w:rPr>
                  <w:caps/>
                  <w:color w:val="000000" w:themeColor="text1"/>
                </w:rPr>
              </w:pPr>
              <w:r>
                <w:rPr>
                  <w:caps/>
                  <w:color w:val="000000" w:themeColor="text1"/>
                </w:rPr>
                <w:t>Desember 2025</w:t>
              </w:r>
            </w:p>
          </w:sdtContent>
        </w:sdt>
      </w:tc>
      <w:tc>
        <w:tcPr>
          <w:tcW w:w="750" w:type="dxa"/>
          <w:shd w:val="clear" w:color="auto" w:fill="E36C0A" w:themeFill="accent6" w:themeFillShade="BF"/>
          <w:vAlign w:val="center"/>
        </w:tcPr>
        <w:p w:rsidR="00C149A6" w:rsidRDefault="00C149A6">
          <w:pPr>
            <w:pStyle w:val="Footer"/>
            <w:ind w:left="0" w:hanging="2"/>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C149A6" w:rsidRDefault="00C149A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9A6" w:rsidRDefault="00C149A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6DC9" w:rsidRDefault="00BE6DC9">
      <w:r>
        <w:separator/>
      </w:r>
    </w:p>
  </w:footnote>
  <w:footnote w:type="continuationSeparator" w:id="0">
    <w:p w:rsidR="00BE6DC9" w:rsidRDefault="00BE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9A6" w:rsidRDefault="00C149A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9A6" w:rsidRPr="00A17727" w:rsidRDefault="00C149A6" w:rsidP="00C149A6">
    <w:pPr>
      <w:tabs>
        <w:tab w:val="center" w:pos="4513"/>
        <w:tab w:val="right" w:pos="9026"/>
      </w:tabs>
      <w:ind w:right="28" w:hanging="2"/>
      <w:rPr>
        <w:sz w:val="20"/>
        <w:lang w:eastAsia="ja-JP"/>
      </w:rPr>
    </w:pPr>
    <w:r w:rsidRPr="004F15EF">
      <w:rPr>
        <w:rFonts w:ascii="Calibri" w:eastAsia="Calibri" w:hAnsi="Calibri" w:cs="Calibri"/>
        <w:sz w:val="20"/>
        <w:lang w:val="en-ID" w:eastAsia="ja-JP"/>
      </w:rPr>
      <w:t xml:space="preserve">MEDIKA ALKHAIRAAT : JURNAL PENELITIAN KEDOKTERAN DAN KESEHATAN </w:t>
    </w:r>
    <w:r>
      <w:rPr>
        <w:rFonts w:ascii="Calibri" w:eastAsia="Calibri" w:hAnsi="Calibri" w:cs="Calibri"/>
        <w:sz w:val="20"/>
        <w:lang w:val="en-ID" w:eastAsia="ja-JP"/>
      </w:rPr>
      <w:t>7</w:t>
    </w:r>
    <w:r w:rsidRPr="004F15EF">
      <w:rPr>
        <w:rFonts w:ascii="Calibri" w:eastAsia="Calibri" w:hAnsi="Calibri" w:cs="Calibri"/>
        <w:sz w:val="20"/>
        <w:lang w:val="en-ID" w:eastAsia="ja-JP"/>
      </w:rPr>
      <w:t xml:space="preserve">(2): </w:t>
    </w:r>
    <w:r>
      <w:rPr>
        <w:sz w:val="20"/>
        <w:lang w:eastAsia="ja-JP"/>
      </w:rPr>
      <w:t>126</w:t>
    </w:r>
    <w:r>
      <w:rPr>
        <w:sz w:val="20"/>
        <w:lang w:eastAsia="ja-JP"/>
      </w:rPr>
      <w:t>4-1271</w:t>
    </w:r>
  </w:p>
  <w:p w:rsidR="00C149A6" w:rsidRDefault="00C149A6" w:rsidP="00C149A6">
    <w:pPr>
      <w:pStyle w:val="Header"/>
      <w:ind w:left="0" w:hanging="2"/>
      <w:rPr>
        <w:rFonts w:ascii="Calibri" w:eastAsia="Calibri" w:hAnsi="Calibri" w:cs="Calibri"/>
        <w:color w:val="000000"/>
        <w:sz w:val="20"/>
        <w:lang w:eastAsia="ja-JP"/>
      </w:rPr>
    </w:pPr>
    <w:r w:rsidRPr="004F15EF">
      <w:rPr>
        <w:rFonts w:ascii="Calibri" w:eastAsia="Calibri" w:hAnsi="Calibri" w:cs="Calibri"/>
        <w:color w:val="000000"/>
        <w:kern w:val="2"/>
        <w:sz w:val="20"/>
        <w:lang w:val="en-ID" w:eastAsia="ja-JP"/>
      </w:rPr>
      <w:t>e-ISSN: 2656-7822, p-ISSN: 2657-179X</w:t>
    </w:r>
  </w:p>
  <w:p w:rsidR="00C149A6" w:rsidRDefault="00C149A6" w:rsidP="00C149A6">
    <w:pPr>
      <w:pStyle w:val="Header"/>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49A6" w:rsidRDefault="00C149A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904"/>
    <w:rsid w:val="009F578E"/>
    <w:rsid w:val="00BE6DC9"/>
    <w:rsid w:val="00C149A6"/>
    <w:rsid w:val="00C46CB4"/>
    <w:rsid w:val="00D24424"/>
    <w:rsid w:val="00D437E7"/>
    <w:rsid w:val="00F5790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7AA964A"/>
  <w15:docId w15:val="{B75E2339-2A3D-D540-829F-E279E67A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sz w:val="40"/>
      <w:szCs w:val="40"/>
    </w:rPr>
  </w:style>
  <w:style w:type="paragraph" w:styleId="Heading2">
    <w:name w:val="heading 2"/>
    <w:basedOn w:val="Normal"/>
    <w:next w:val="Normal"/>
    <w:uiPriority w:val="9"/>
    <w:semiHidden/>
    <w:unhideWhenUsed/>
    <w:qFormat/>
    <w:pPr>
      <w:keepNext/>
      <w:outlineLvl w:val="1"/>
    </w:pPr>
    <w:rPr>
      <w:b/>
      <w:sz w:val="32"/>
      <w:szCs w:val="32"/>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jc w:val="center"/>
    </w:pPr>
    <w:rPr>
      <w:b/>
      <w:sz w:val="20"/>
      <w:szCs w:val="20"/>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
    <w:name w:val="Title Char"/>
    <w:rPr>
      <w:b/>
      <w:w w:val="100"/>
      <w:position w:val="-1"/>
      <w:sz w:val="20"/>
      <w:effect w:val="none"/>
      <w:vertAlign w:val="baseline"/>
      <w:cs w:val="0"/>
      <w:em w:val="none"/>
    </w:rPr>
  </w:style>
  <w:style w:type="character" w:customStyle="1" w:styleId="FooterChar">
    <w:name w:val="Footer Char"/>
    <w:uiPriority w:val="99"/>
    <w:rPr>
      <w:w w:val="100"/>
      <w:position w:val="-1"/>
      <w:effect w:val="none"/>
      <w:vertAlign w:val="baseline"/>
      <w:cs w:val="0"/>
      <w:em w:val="none"/>
    </w:rPr>
  </w:style>
  <w:style w:type="paragraph" w:styleId="Footer">
    <w:name w:val="footer"/>
    <w:basedOn w:val="Normal"/>
    <w:uiPriority w:val="99"/>
    <w:pPr>
      <w:suppressAutoHyphens/>
      <w:spacing w:line="1" w:lineRule="atLeast"/>
      <w:ind w:leftChars="-1" w:left="-1" w:hangingChars="1" w:hanging="1"/>
      <w:textDirection w:val="btLr"/>
      <w:textAlignment w:val="top"/>
      <w:outlineLvl w:val="0"/>
    </w:pPr>
    <w:rPr>
      <w:position w:val="-1"/>
      <w:lang w:val="en-US"/>
    </w:rPr>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pacing w:line="1" w:lineRule="atLeast"/>
      <w:ind w:leftChars="-1" w:left="-1" w:hangingChars="1" w:hanging="1"/>
      <w:jc w:val="center"/>
      <w:textDirection w:val="btLr"/>
      <w:textAlignment w:val="top"/>
      <w:outlineLvl w:val="0"/>
    </w:pPr>
    <w:rPr>
      <w:rFonts w:ascii="Times" w:hAnsi="Times"/>
      <w:position w:val="-1"/>
      <w:lang w:val="en-US" w:eastAsia="ar-SA"/>
    </w:rPr>
  </w:style>
  <w:style w:type="paragraph" w:customStyle="1" w:styleId="ICTSBodyText">
    <w:name w:val="ICTS_BodyText"/>
    <w:basedOn w:val="BodyText"/>
  </w:style>
  <w:style w:type="character" w:customStyle="1" w:styleId="TitleChar1">
    <w:name w:val="Title Char1"/>
    <w:rPr>
      <w:rFonts w:ascii="Cambria" w:eastAsia="MS Gothic"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uppressAutoHyphens/>
      <w:spacing w:after="200" w:line="276" w:lineRule="auto"/>
      <w:ind w:leftChars="-1" w:left="-1" w:hangingChars="1" w:hanging="1"/>
      <w:textDirection w:val="btLr"/>
      <w:textAlignment w:val="top"/>
      <w:outlineLvl w:val="0"/>
    </w:pPr>
    <w:rPr>
      <w:rFonts w:ascii="Calibri" w:eastAsia="Calibri" w:hAnsi="Calibri"/>
      <w:position w:val="-1"/>
      <w:sz w:val="22"/>
      <w:szCs w:val="22"/>
      <w:lang w:val="en-US"/>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qFormat/>
    <w:pPr>
      <w:suppressAutoHyphens/>
      <w:spacing w:after="120" w:line="1" w:lineRule="atLeast"/>
      <w:ind w:leftChars="-1" w:left="360" w:hangingChars="1" w:hanging="1"/>
      <w:textDirection w:val="btLr"/>
      <w:textAlignment w:val="top"/>
      <w:outlineLvl w:val="0"/>
    </w:pPr>
    <w:rPr>
      <w:position w:val="-1"/>
      <w:lang w:val="en-US"/>
    </w:r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uppressAutoHyphens/>
      <w:spacing w:after="120" w:line="1" w:lineRule="atLeast"/>
      <w:ind w:leftChars="-1" w:left="-1" w:hangingChars="1" w:hanging="1"/>
      <w:textDirection w:val="btLr"/>
      <w:textAlignment w:val="top"/>
      <w:outlineLvl w:val="0"/>
    </w:pPr>
    <w:rPr>
      <w:position w:val="-1"/>
      <w:lang w:val="en-US"/>
    </w:rPr>
  </w:style>
  <w:style w:type="character" w:customStyle="1" w:styleId="BodyTextChar">
    <w:name w:val="Body Text Char"/>
    <w:rPr>
      <w:w w:val="100"/>
      <w:position w:val="-1"/>
      <w:szCs w:val="20"/>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lang w:val="en-US"/>
    </w:rPr>
  </w:style>
  <w:style w:type="character" w:customStyle="1" w:styleId="Heading3Char">
    <w:name w:val="Heading 3 Char"/>
    <w:rPr>
      <w:rFonts w:ascii="Cambria" w:eastAsia="MS Gothic" w:hAnsi="Cambria" w:cs="Times New Roman"/>
      <w:b/>
      <w:bCs/>
      <w:color w:val="4F81BD"/>
      <w:w w:val="100"/>
      <w:position w:val="-1"/>
      <w:szCs w:val="20"/>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uiPriority w:val="99"/>
    <w:qFormat/>
    <w:pPr>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uiPriority w:val="99"/>
    <w:rPr>
      <w:w w:val="100"/>
      <w:position w:val="-1"/>
      <w:szCs w:val="20"/>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Lucida Grande" w:hAnsi="Lucida Grande" w:cs="Lucida Grande"/>
      <w:position w:val="-1"/>
      <w:sz w:val="18"/>
      <w:szCs w:val="18"/>
      <w:lang w:val="en-US"/>
    </w:rPr>
  </w:style>
  <w:style w:type="character" w:customStyle="1" w:styleId="BalloonTextChar">
    <w:name w:val="Balloon Text Char"/>
    <w:rPr>
      <w:rFonts w:ascii="Lucida Grande" w:eastAsia="Times New Roman" w:hAnsi="Lucida Grande" w:cs="Lucida Grande"/>
      <w:w w:val="100"/>
      <w:position w:val="-1"/>
      <w:sz w:val="18"/>
      <w:szCs w:val="18"/>
      <w:effect w:val="none"/>
      <w:vertAlign w:val="baseline"/>
      <w:cs w:val="0"/>
      <w:em w:val="none"/>
    </w:rPr>
  </w:style>
  <w:style w:type="paragraph" w:styleId="NormalWeb">
    <w:name w:val="Normal (Web)"/>
    <w:basedOn w:val="Normal"/>
    <w:qFormat/>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B159A9BDFBC4C96BDDE5B9229FA0E"/>
        <w:category>
          <w:name w:val="General"/>
          <w:gallery w:val="placeholder"/>
        </w:category>
        <w:types>
          <w:type w:val="bbPlcHdr"/>
        </w:types>
        <w:behaviors>
          <w:behavior w:val="content"/>
        </w:behaviors>
        <w:guid w:val="{3E82D854-13F9-344A-B9CA-D6AEC4F1DC0A}"/>
      </w:docPartPr>
      <w:docPartBody>
        <w:p w:rsidR="00000000" w:rsidRDefault="00D81A0D" w:rsidP="00D81A0D">
          <w:pPr>
            <w:pStyle w:val="0FDB159A9BDFBC4C96BDDE5B9229FA0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0D"/>
    <w:rsid w:val="00D54029"/>
    <w:rsid w:val="00D81A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DB159A9BDFBC4C96BDDE5B9229FA0E">
    <w:name w:val="0FDB159A9BDFBC4C96BDDE5B9229FA0E"/>
    <w:rsid w:val="00D81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dU38h8u/Om+a0aOpoL0TMf0BUQ==">CgMxLjA4AHIhMTJza1NjQ2Zzc21WQWh3Q2xma3RZUnkwbVNSNEZqSUU2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3716</Words>
  <Characters>21187</Characters>
  <Application>Microsoft Office Word</Application>
  <DocSecurity>0</DocSecurity>
  <Lines>176</Lines>
  <Paragraphs>49</Paragraphs>
  <ScaleCrop>false</ScaleCrop>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Desember 2025</dc:creator>
  <cp:lastModifiedBy>Microsoft Office User</cp:lastModifiedBy>
  <cp:revision>4</cp:revision>
  <dcterms:created xsi:type="dcterms:W3CDTF">2025-09-30T10:44:00Z</dcterms:created>
  <dcterms:modified xsi:type="dcterms:W3CDTF">2025-12-02T02:45:00Z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50e5b093-d6d4-3816-8b8a-9d1a7c3726fc</vt:lpwstr>
  </property>
  <property fmtid="{D5CDD505-2E9C-101B-9397-08002B2CF9AE}" pid="24" name="Mendeley Citation Style_1">
    <vt:lpwstr>http://www.zotero.org/styles/american-medical-association</vt:lpwstr>
  </property>
</Properties>
</file>